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D5967">
      <w:pPr>
        <w:pageBreakBefore w:val="0"/>
        <w:overflowPunct/>
        <w:topLinePunct w:val="0"/>
        <w:bidi w:val="0"/>
        <w:spacing w:line="360" w:lineRule="auto"/>
        <w:jc w:val="righ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编号：YZCC-2024</w:t>
      </w:r>
      <w:r>
        <w:rPr>
          <w:rFonts w:hint="eastAsia" w:asciiTheme="majorEastAsia" w:hAnsiTheme="majorEastAsia" w:eastAsiaTheme="majorEastAsia" w:cstheme="majorEastAsia"/>
          <w:color w:val="000000"/>
          <w:sz w:val="24"/>
          <w:szCs w:val="24"/>
          <w:lang w:val="en-US" w:eastAsia="zh-CN"/>
        </w:rPr>
        <w:t>28</w:t>
      </w:r>
    </w:p>
    <w:p w14:paraId="6ABBF4D6">
      <w:pPr>
        <w:pageBreakBefore w:val="0"/>
        <w:overflowPunct/>
        <w:topLinePunct w:val="0"/>
        <w:bidi w:val="0"/>
        <w:spacing w:line="360" w:lineRule="auto"/>
        <w:jc w:val="center"/>
        <w:rPr>
          <w:rFonts w:hint="eastAsia" w:asciiTheme="majorEastAsia" w:hAnsiTheme="majorEastAsia" w:eastAsiaTheme="majorEastAsia" w:cstheme="majorEastAsia"/>
          <w:color w:val="000000"/>
          <w:sz w:val="40"/>
          <w:szCs w:val="40"/>
        </w:rPr>
      </w:pPr>
    </w:p>
    <w:p w14:paraId="253B1E84">
      <w:pPr>
        <w:pageBreakBefore w:val="0"/>
        <w:overflowPunct/>
        <w:topLinePunct w:val="0"/>
        <w:bidi w:val="0"/>
        <w:spacing w:line="360" w:lineRule="auto"/>
        <w:jc w:val="center"/>
        <w:rPr>
          <w:rFonts w:hint="eastAsia" w:asciiTheme="majorEastAsia" w:hAnsiTheme="majorEastAsia" w:eastAsiaTheme="majorEastAsia" w:cstheme="majorEastAsia"/>
          <w:b/>
          <w:bCs/>
          <w:color w:val="000000"/>
          <w:spacing w:val="-6"/>
          <w:sz w:val="40"/>
          <w:szCs w:val="40"/>
          <w:highlight w:val="none"/>
          <w:lang w:val="en-US" w:eastAsia="zh-CN"/>
        </w:rPr>
      </w:pPr>
      <w:r>
        <w:rPr>
          <w:rFonts w:hint="eastAsia" w:asciiTheme="majorEastAsia" w:hAnsiTheme="majorEastAsia" w:eastAsiaTheme="majorEastAsia" w:cstheme="majorEastAsia"/>
          <w:b/>
          <w:bCs/>
          <w:color w:val="000000"/>
          <w:spacing w:val="-6"/>
          <w:sz w:val="40"/>
          <w:szCs w:val="40"/>
          <w:highlight w:val="none"/>
          <w:lang w:val="en-US" w:eastAsia="zh-CN"/>
        </w:rPr>
        <w:t>氧气负压空气中心医用气体设备全保服务项目</w:t>
      </w:r>
    </w:p>
    <w:p w14:paraId="45F62EE3">
      <w:pPr>
        <w:pageBreakBefore w:val="0"/>
        <w:overflowPunct/>
        <w:topLinePunct w:val="0"/>
        <w:bidi w:val="0"/>
        <w:spacing w:line="360" w:lineRule="auto"/>
        <w:jc w:val="center"/>
        <w:rPr>
          <w:rFonts w:hint="eastAsia" w:asciiTheme="majorEastAsia" w:hAnsiTheme="majorEastAsia" w:eastAsiaTheme="majorEastAsia" w:cstheme="majorEastAsia"/>
          <w:b/>
          <w:sz w:val="40"/>
          <w:szCs w:val="40"/>
          <w:highlight w:val="none"/>
        </w:rPr>
      </w:pPr>
      <w:r>
        <w:rPr>
          <w:rFonts w:hint="eastAsia" w:asciiTheme="majorEastAsia" w:hAnsiTheme="majorEastAsia" w:eastAsiaTheme="majorEastAsia" w:cstheme="majorEastAsia"/>
          <w:b/>
          <w:sz w:val="40"/>
          <w:szCs w:val="40"/>
          <w:highlight w:val="none"/>
        </w:rPr>
        <w:t>竞争性磋商文件</w:t>
      </w:r>
    </w:p>
    <w:p w14:paraId="661C59D7">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p>
    <w:p w14:paraId="6F1FC459">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spacing w:val="-22"/>
          <w:sz w:val="24"/>
          <w:szCs w:val="24"/>
        </w:rPr>
        <w:drawing>
          <wp:anchor distT="0" distB="0" distL="114300" distR="114300" simplePos="0" relativeHeight="251660288" behindDoc="1" locked="0" layoutInCell="1" allowOverlap="1">
            <wp:simplePos x="0" y="0"/>
            <wp:positionH relativeFrom="column">
              <wp:posOffset>-41275</wp:posOffset>
            </wp:positionH>
            <wp:positionV relativeFrom="paragraph">
              <wp:posOffset>-215900</wp:posOffset>
            </wp:positionV>
            <wp:extent cx="5421630" cy="4867275"/>
            <wp:effectExtent l="0" t="0" r="7620" b="9525"/>
            <wp:wrapNone/>
            <wp:docPr id="1" name="图片 2" descr="51d4133fa14bc98b56a282b7bc4e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1d4133fa14bc98b56a282b7bc4ec39"/>
                    <pic:cNvPicPr>
                      <a:picLocks noChangeAspect="1"/>
                    </pic:cNvPicPr>
                  </pic:nvPicPr>
                  <pic:blipFill>
                    <a:blip r:embed="rId7"/>
                    <a:stretch>
                      <a:fillRect/>
                    </a:stretch>
                  </pic:blipFill>
                  <pic:spPr>
                    <a:xfrm>
                      <a:off x="0" y="0"/>
                      <a:ext cx="5421630" cy="4867275"/>
                    </a:xfrm>
                    <a:prstGeom prst="rect">
                      <a:avLst/>
                    </a:prstGeom>
                    <a:noFill/>
                    <a:ln>
                      <a:noFill/>
                    </a:ln>
                  </pic:spPr>
                </pic:pic>
              </a:graphicData>
            </a:graphic>
          </wp:anchor>
        </w:drawing>
      </w:r>
    </w:p>
    <w:p w14:paraId="61B68F93">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p>
    <w:p w14:paraId="759A9B5D">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p>
    <w:p w14:paraId="1A223AB4">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p w14:paraId="3AF661E0">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01382A99">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132DA1C3">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6EE96F3E">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359915D3">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3A1A9366">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30A122D5">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14255FE9">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488E9BDE">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5C628886">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5CF21367">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1F05F886">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44C7EBAC">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2600305C">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3B333697">
      <w:pPr>
        <w:pageBreakBefore w:val="0"/>
        <w:overflowPunct/>
        <w:topLinePunct w:val="0"/>
        <w:bidi w:val="0"/>
        <w:spacing w:line="360" w:lineRule="auto"/>
        <w:jc w:val="center"/>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仪征传承招投标代理有限公司</w:t>
      </w:r>
    </w:p>
    <w:p w14:paraId="29581B34">
      <w:pPr>
        <w:pageBreakBefore w:val="0"/>
        <w:overflowPunct/>
        <w:topLinePunct w:val="0"/>
        <w:bidi w:val="0"/>
        <w:spacing w:line="360" w:lineRule="auto"/>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sectPr>
          <w:headerReference r:id="rId3" w:type="default"/>
          <w:pgSz w:w="11906" w:h="16838"/>
          <w:pgMar w:top="1440" w:right="1800" w:bottom="1440" w:left="1800" w:header="851" w:footer="992" w:gutter="0"/>
          <w:pgNumType w:start="0"/>
          <w:cols w:space="720" w:num="1"/>
          <w:docGrid w:type="lines" w:linePitch="312" w:charSpace="0"/>
        </w:sect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2024年</w:t>
      </w:r>
      <w:r>
        <w:rPr>
          <w:rFonts w:hint="eastAsia" w:asciiTheme="majorEastAsia" w:hAnsiTheme="majorEastAsia" w:eastAsiaTheme="majorEastAsia" w:cstheme="majorEastAsia"/>
          <w:b/>
          <w:color w:val="000000" w:themeColor="text1"/>
          <w:sz w:val="32"/>
          <w:szCs w:val="32"/>
          <w:lang w:val="en-US" w:eastAsia="zh-CN"/>
          <w14:textFill>
            <w14:solidFill>
              <w14:schemeClr w14:val="tx1"/>
            </w14:solidFill>
          </w14:textFill>
        </w:rPr>
        <w:t>12</w:t>
      </w:r>
      <w:r>
        <w:rPr>
          <w:rFonts w:hint="eastAsia" w:asciiTheme="majorEastAsia" w:hAnsiTheme="majorEastAsia" w:eastAsiaTheme="majorEastAsia" w:cstheme="majorEastAsia"/>
          <w:b/>
          <w:color w:val="000000" w:themeColor="text1"/>
          <w:sz w:val="32"/>
          <w:szCs w:val="32"/>
          <w14:textFill>
            <w14:solidFill>
              <w14:schemeClr w14:val="tx1"/>
            </w14:solidFill>
          </w14:textFill>
        </w:rPr>
        <w:t>月</w:t>
      </w:r>
    </w:p>
    <w:p w14:paraId="4B4E14A9">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目 录</w:t>
      </w:r>
    </w:p>
    <w:p w14:paraId="2003B529">
      <w:pPr>
        <w:pStyle w:val="11"/>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fldChar w:fldCharType="begin"/>
      </w:r>
      <w:r>
        <w:rPr>
          <w:rFonts w:hint="eastAsia" w:asciiTheme="majorEastAsia" w:hAnsiTheme="majorEastAsia" w:eastAsiaTheme="majorEastAsia" w:cstheme="majorEastAsia"/>
          <w:color w:val="000000"/>
          <w:sz w:val="24"/>
          <w:szCs w:val="24"/>
        </w:rPr>
        <w:instrText xml:space="preserve"> TOC \o "1-3" \f </w:instrText>
      </w:r>
      <w:r>
        <w:rPr>
          <w:rFonts w:hint="eastAsia" w:asciiTheme="majorEastAsia" w:hAnsiTheme="majorEastAsia" w:eastAsiaTheme="majorEastAsia" w:cstheme="majorEastAsia"/>
          <w:color w:val="000000"/>
          <w:sz w:val="24"/>
          <w:szCs w:val="24"/>
        </w:rPr>
        <w:fldChar w:fldCharType="separate"/>
      </w:r>
      <w:r>
        <w:rPr>
          <w:rFonts w:hint="eastAsia" w:asciiTheme="majorEastAsia" w:hAnsiTheme="majorEastAsia" w:eastAsiaTheme="majorEastAsia" w:cstheme="majorEastAsia"/>
          <w:color w:val="000000"/>
          <w:sz w:val="24"/>
          <w:szCs w:val="24"/>
        </w:rPr>
        <w:t>第一章竞争性磋商公告</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_Toc515613283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p w14:paraId="1AA75895">
      <w:pPr>
        <w:pStyle w:val="11"/>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000000"/>
          <w:sz w:val="24"/>
          <w:szCs w:val="24"/>
        </w:rPr>
        <w:t>第二章磋商须知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p>
    <w:p w14:paraId="47F520D6">
      <w:pPr>
        <w:pStyle w:val="11"/>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第三章合同条款及格式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15</w:t>
      </w:r>
    </w:p>
    <w:p w14:paraId="2EB5130A">
      <w:pPr>
        <w:pStyle w:val="11"/>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第四章项目需求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21</w:t>
      </w:r>
    </w:p>
    <w:p w14:paraId="585585D9">
      <w:pPr>
        <w:pStyle w:val="11"/>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第五章评审方法和评审标准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26</w:t>
      </w:r>
    </w:p>
    <w:p w14:paraId="17D08741">
      <w:pPr>
        <w:pStyle w:val="11"/>
        <w:pageBreakBefore w:val="0"/>
        <w:tabs>
          <w:tab w:val="right" w:leader="dot" w:pos="8296"/>
        </w:tabs>
        <w:overflowPunct/>
        <w:topLinePunct w:val="0"/>
        <w:bidi w:val="0"/>
        <w:spacing w:line="360" w:lineRule="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第六章竞争性磋商响应文件格式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28</w:t>
      </w:r>
    </w:p>
    <w:p w14:paraId="71E87100">
      <w:pPr>
        <w:pStyle w:val="13"/>
        <w:pageBreakBefore w:val="0"/>
        <w:tabs>
          <w:tab w:val="right" w:leader="dot" w:pos="8296"/>
        </w:tabs>
        <w:overflowPunct/>
        <w:topLinePunct w:val="0"/>
        <w:bidi w:val="0"/>
        <w:spacing w:line="360" w:lineRule="auto"/>
        <w:rPr>
          <w:rFonts w:hint="eastAsia" w:asciiTheme="majorEastAsia" w:hAnsiTheme="majorEastAsia" w:eastAsiaTheme="majorEastAsia" w:cstheme="majorEastAsia"/>
          <w:sz w:val="24"/>
          <w:szCs w:val="24"/>
        </w:rPr>
      </w:pPr>
    </w:p>
    <w:p w14:paraId="4300DB98">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Theme="majorEastAsia" w:hAnsiTheme="majorEastAsia" w:eastAsiaTheme="majorEastAsia" w:cstheme="majorEastAsia"/>
          <w:color w:val="000000"/>
          <w:sz w:val="24"/>
          <w:szCs w:val="24"/>
        </w:rPr>
        <w:fldChar w:fldCharType="end"/>
      </w:r>
    </w:p>
    <w:p w14:paraId="6F0A19A7">
      <w:pPr>
        <w:pStyle w:val="2"/>
        <w:pageBreakBefore w:val="0"/>
        <w:numPr>
          <w:ilvl w:val="0"/>
          <w:numId w:val="0"/>
        </w:numPr>
        <w:overflowPunct/>
        <w:topLinePunct w:val="0"/>
        <w:bidi w:val="0"/>
        <w:spacing w:line="360" w:lineRule="auto"/>
        <w:ind w:leftChars="0" w:firstLine="321" w:firstLineChars="100"/>
        <w:rPr>
          <w:rFonts w:hint="eastAsia" w:asciiTheme="majorEastAsia" w:hAnsiTheme="majorEastAsia" w:eastAsiaTheme="majorEastAsia" w:cstheme="majorEastAsia"/>
          <w:highlight w:val="none"/>
          <w:lang w:val="en-US" w:eastAsia="zh-CN"/>
        </w:rPr>
      </w:pPr>
      <w:bookmarkStart w:id="0" w:name="_Toc515613283"/>
      <w:bookmarkStart w:id="1" w:name="_Hlk169789878"/>
      <w:r>
        <w:rPr>
          <w:rFonts w:hint="eastAsia" w:asciiTheme="majorEastAsia" w:hAnsiTheme="majorEastAsia" w:eastAsiaTheme="majorEastAsia" w:cstheme="majorEastAsia"/>
          <w:highlight w:val="none"/>
          <w:lang w:val="en-US" w:eastAsia="zh-CN"/>
        </w:rPr>
        <w:t>第一章 氧气负压空气中心医用气体设备全保服务项目</w:t>
      </w:r>
    </w:p>
    <w:p w14:paraId="58324DAB">
      <w:pPr>
        <w:bidi w:val="0"/>
        <w:jc w:val="center"/>
        <w:rPr>
          <w:rFonts w:hint="eastAsia" w:asciiTheme="majorEastAsia" w:hAnsiTheme="majorEastAsia" w:eastAsiaTheme="majorEastAsia" w:cstheme="majorEastAsia"/>
          <w:b/>
          <w:bCs/>
          <w:kern w:val="44"/>
          <w:sz w:val="32"/>
          <w:szCs w:val="44"/>
          <w:highlight w:val="none"/>
          <w:lang w:val="en-US" w:eastAsia="zh-CN" w:bidi="ar-SA"/>
        </w:rPr>
      </w:pPr>
      <w:r>
        <w:rPr>
          <w:rFonts w:hint="eastAsia" w:asciiTheme="majorEastAsia" w:hAnsiTheme="majorEastAsia" w:eastAsiaTheme="majorEastAsia" w:cstheme="majorEastAsia"/>
          <w:b/>
          <w:bCs/>
          <w:kern w:val="44"/>
          <w:sz w:val="32"/>
          <w:szCs w:val="44"/>
          <w:highlight w:val="none"/>
          <w:lang w:val="en-US" w:eastAsia="zh-CN" w:bidi="ar-SA"/>
        </w:rPr>
        <w:t>竞争性磋商</w:t>
      </w:r>
      <w:bookmarkEnd w:id="0"/>
      <w:r>
        <w:rPr>
          <w:rFonts w:hint="eastAsia" w:asciiTheme="majorEastAsia" w:hAnsiTheme="majorEastAsia" w:eastAsiaTheme="majorEastAsia" w:cstheme="majorEastAsia"/>
          <w:b/>
          <w:bCs/>
          <w:kern w:val="44"/>
          <w:sz w:val="32"/>
          <w:szCs w:val="44"/>
          <w:highlight w:val="none"/>
          <w:lang w:val="en-US" w:eastAsia="zh-CN" w:bidi="ar-SA"/>
        </w:rPr>
        <w:t>公告</w:t>
      </w:r>
      <w:bookmarkStart w:id="2" w:name="_Toc35393629"/>
      <w:bookmarkStart w:id="3" w:name="_Toc35393798"/>
      <w:bookmarkStart w:id="4" w:name="_Toc28359012"/>
      <w:bookmarkStart w:id="5" w:name="_Toc28359089"/>
    </w:p>
    <w:p w14:paraId="7CFB95AB">
      <w:pPr>
        <w:pageBreakBefore w:val="0"/>
        <w:pBdr>
          <w:top w:val="single" w:color="auto" w:sz="4" w:space="1"/>
          <w:left w:val="single" w:color="auto" w:sz="4" w:space="4"/>
          <w:bottom w:val="single" w:color="auto" w:sz="4" w:space="1"/>
          <w:right w:val="single" w:color="auto" w:sz="4" w:space="4"/>
        </w:pBdr>
        <w:overflowPunct/>
        <w:topLinePunct w:val="0"/>
        <w:bidi w:val="0"/>
        <w:spacing w:line="36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项目概况：</w:t>
      </w:r>
    </w:p>
    <w:p w14:paraId="5B305B02">
      <w:pPr>
        <w:pageBreakBefore w:val="0"/>
        <w:pBdr>
          <w:top w:val="single" w:color="auto" w:sz="4" w:space="1"/>
          <w:left w:val="single" w:color="auto" w:sz="4" w:space="4"/>
          <w:bottom w:val="single" w:color="auto" w:sz="4" w:space="1"/>
          <w:right w:val="single" w:color="auto" w:sz="4" w:space="4"/>
        </w:pBdr>
        <w:overflowPunct/>
        <w:topLinePunct w:val="0"/>
        <w:bidi w:val="0"/>
        <w:spacing w:line="36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氧气负压空气中心医用气体设备全保服务</w:t>
      </w:r>
      <w:r>
        <w:rPr>
          <w:rFonts w:hint="eastAsia" w:asciiTheme="majorEastAsia" w:hAnsiTheme="majorEastAsia" w:eastAsiaTheme="majorEastAsia" w:cstheme="majorEastAsia"/>
          <w:sz w:val="24"/>
          <w:szCs w:val="24"/>
        </w:rPr>
        <w:t>项目的潜在供应商应通过</w:t>
      </w:r>
      <w:r>
        <w:rPr>
          <w:rFonts w:hint="eastAsia" w:asciiTheme="majorEastAsia" w:hAnsiTheme="majorEastAsia" w:eastAsiaTheme="majorEastAsia" w:cstheme="majorEastAsia"/>
          <w:sz w:val="24"/>
          <w:szCs w:val="24"/>
          <w:u w:val="single"/>
        </w:rPr>
        <w:t>仪征传承招投标代理有限公司</w:t>
      </w:r>
      <w:r>
        <w:rPr>
          <w:rFonts w:hint="eastAsia" w:asciiTheme="majorEastAsia" w:hAnsiTheme="majorEastAsia" w:eastAsiaTheme="majorEastAsia" w:cstheme="majorEastAsia"/>
          <w:sz w:val="24"/>
          <w:szCs w:val="24"/>
        </w:rPr>
        <w:t>获取采购文件，并</w:t>
      </w:r>
      <w:bookmarkStart w:id="6" w:name="_Hlk169189024"/>
      <w:r>
        <w:rPr>
          <w:rFonts w:hint="eastAsia" w:asciiTheme="majorEastAsia" w:hAnsiTheme="majorEastAsia" w:eastAsiaTheme="majorEastAsia" w:cstheme="majorEastAsia"/>
          <w:sz w:val="24"/>
          <w:szCs w:val="24"/>
          <w:lang w:val="en-US" w:eastAsia="zh-CN"/>
        </w:rPr>
        <w:t>于</w:t>
      </w:r>
      <w:r>
        <w:rPr>
          <w:rFonts w:hint="eastAsia" w:asciiTheme="majorEastAsia" w:hAnsiTheme="majorEastAsia" w:eastAsiaTheme="majorEastAsia" w:cstheme="majorEastAsia"/>
          <w:sz w:val="24"/>
          <w:szCs w:val="24"/>
          <w:highlight w:val="yellow"/>
          <w:u w:val="single"/>
        </w:rPr>
        <w:t>2024年</w:t>
      </w:r>
      <w:r>
        <w:rPr>
          <w:rFonts w:hint="eastAsia" w:asciiTheme="majorEastAsia" w:hAnsiTheme="majorEastAsia" w:eastAsiaTheme="majorEastAsia" w:cstheme="majorEastAsia"/>
          <w:sz w:val="24"/>
          <w:szCs w:val="24"/>
          <w:highlight w:val="yellow"/>
          <w:u w:val="single"/>
          <w:lang w:val="en-US" w:eastAsia="zh-CN"/>
        </w:rPr>
        <w:t>12</w:t>
      </w:r>
      <w:r>
        <w:rPr>
          <w:rFonts w:hint="eastAsia" w:asciiTheme="majorEastAsia" w:hAnsiTheme="majorEastAsia" w:eastAsiaTheme="majorEastAsia" w:cstheme="majorEastAsia"/>
          <w:sz w:val="24"/>
          <w:szCs w:val="24"/>
          <w:highlight w:val="yellow"/>
          <w:u w:val="single"/>
        </w:rPr>
        <w:t>月</w:t>
      </w:r>
      <w:r>
        <w:rPr>
          <w:rFonts w:hint="eastAsia" w:asciiTheme="majorEastAsia" w:hAnsiTheme="majorEastAsia" w:eastAsiaTheme="majorEastAsia" w:cstheme="majorEastAsia"/>
          <w:sz w:val="24"/>
          <w:szCs w:val="24"/>
          <w:highlight w:val="yellow"/>
          <w:u w:val="single"/>
          <w:lang w:val="en-US" w:eastAsia="zh-CN"/>
        </w:rPr>
        <w:t xml:space="preserve">   </w:t>
      </w:r>
      <w:r>
        <w:rPr>
          <w:rFonts w:hint="eastAsia" w:asciiTheme="majorEastAsia" w:hAnsiTheme="majorEastAsia" w:eastAsiaTheme="majorEastAsia" w:cstheme="majorEastAsia"/>
          <w:sz w:val="24"/>
          <w:szCs w:val="24"/>
          <w:highlight w:val="yellow"/>
          <w:u w:val="single"/>
        </w:rPr>
        <w:t>日09：00</w:t>
      </w:r>
      <w:bookmarkEnd w:id="6"/>
      <w:r>
        <w:rPr>
          <w:rFonts w:hint="eastAsia" w:asciiTheme="majorEastAsia" w:hAnsiTheme="majorEastAsia" w:eastAsiaTheme="majorEastAsia" w:cstheme="majorEastAsia"/>
          <w:bCs/>
          <w:sz w:val="24"/>
          <w:szCs w:val="24"/>
        </w:rPr>
        <w:t>（北京时间）前提交响应文件</w:t>
      </w:r>
      <w:r>
        <w:rPr>
          <w:rFonts w:hint="eastAsia" w:asciiTheme="majorEastAsia" w:hAnsiTheme="majorEastAsia" w:eastAsiaTheme="majorEastAsia" w:cstheme="majorEastAsia"/>
          <w:sz w:val="24"/>
          <w:szCs w:val="24"/>
        </w:rPr>
        <w:t>。</w:t>
      </w:r>
    </w:p>
    <w:p w14:paraId="1DAE50E8">
      <w:pPr>
        <w:pageBreakBefore w:val="0"/>
        <w:overflowPunct/>
        <w:topLinePunct w:val="0"/>
        <w:bidi w:val="0"/>
        <w:spacing w:line="360" w:lineRule="auto"/>
        <w:rPr>
          <w:rFonts w:hint="eastAsia" w:asciiTheme="majorEastAsia" w:hAnsiTheme="majorEastAsia" w:eastAsiaTheme="majorEastAsia" w:cstheme="majorEastAsia"/>
          <w:sz w:val="24"/>
          <w:szCs w:val="24"/>
        </w:rPr>
      </w:pPr>
    </w:p>
    <w:bookmarkEnd w:id="2"/>
    <w:bookmarkEnd w:id="3"/>
    <w:bookmarkEnd w:id="4"/>
    <w:bookmarkEnd w:id="5"/>
    <w:p w14:paraId="5785893A">
      <w:pPr>
        <w:pageBreakBefore w:val="0"/>
        <w:overflowPunct/>
        <w:topLinePunct w:val="0"/>
        <w:bidi w:val="0"/>
        <w:spacing w:line="360" w:lineRule="auto"/>
        <w:rPr>
          <w:rFonts w:hint="eastAsia" w:asciiTheme="majorEastAsia" w:hAnsiTheme="majorEastAsia" w:eastAsiaTheme="majorEastAsia" w:cstheme="majorEastAsia"/>
          <w:b/>
          <w:sz w:val="24"/>
          <w:szCs w:val="24"/>
        </w:rPr>
      </w:pPr>
      <w:bookmarkStart w:id="7" w:name="_Toc515613284"/>
      <w:r>
        <w:rPr>
          <w:rFonts w:hint="eastAsia" w:asciiTheme="majorEastAsia" w:hAnsiTheme="majorEastAsia" w:eastAsiaTheme="majorEastAsia" w:cstheme="majorEastAsia"/>
          <w:sz w:val="24"/>
          <w:szCs w:val="24"/>
          <w:lang w:val="zh-CN"/>
        </w:rPr>
        <w:t>一、</w:t>
      </w:r>
      <w:r>
        <w:rPr>
          <w:rFonts w:hint="eastAsia" w:asciiTheme="majorEastAsia" w:hAnsiTheme="majorEastAsia" w:eastAsiaTheme="majorEastAsia" w:cstheme="majorEastAsia"/>
          <w:b/>
          <w:sz w:val="24"/>
          <w:szCs w:val="24"/>
        </w:rPr>
        <w:t>项目基本情况</w:t>
      </w:r>
    </w:p>
    <w:p w14:paraId="6C158165">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项目编号：YZCC-2024</w:t>
      </w:r>
      <w:r>
        <w:rPr>
          <w:rFonts w:hint="eastAsia" w:asciiTheme="majorEastAsia" w:hAnsiTheme="majorEastAsia" w:eastAsiaTheme="majorEastAsia" w:cstheme="majorEastAsia"/>
          <w:sz w:val="24"/>
          <w:szCs w:val="24"/>
          <w:lang w:val="en-US" w:eastAsia="zh-CN"/>
        </w:rPr>
        <w:t>28</w:t>
      </w:r>
    </w:p>
    <w:p w14:paraId="54D71627">
      <w:pPr>
        <w:pageBreakBefore w:val="0"/>
        <w:overflowPunct/>
        <w:topLinePunct w:val="0"/>
        <w:bidi w:val="0"/>
        <w:spacing w:line="360" w:lineRule="auto"/>
        <w:ind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kern w:val="0"/>
          <w:sz w:val="24"/>
          <w:szCs w:val="24"/>
          <w:lang w:val="en-US" w:eastAsia="zh-CN" w:bidi="ar-SA"/>
        </w:rPr>
        <w:t>氧气负压空气中心医用气体设备全保服务项目</w:t>
      </w:r>
    </w:p>
    <w:p w14:paraId="221ACA65">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采购方式：竞争性磋商</w:t>
      </w:r>
    </w:p>
    <w:p w14:paraId="767ED709">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预算金额：</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highlight w:val="yellow"/>
        </w:rPr>
        <w:t>万元</w:t>
      </w:r>
      <w:r>
        <w:rPr>
          <w:rFonts w:hint="eastAsia" w:asciiTheme="majorEastAsia" w:hAnsiTheme="majorEastAsia" w:eastAsiaTheme="majorEastAsia" w:cstheme="majorEastAsia"/>
          <w:sz w:val="24"/>
          <w:szCs w:val="24"/>
        </w:rPr>
        <w:t xml:space="preserve"> </w:t>
      </w:r>
    </w:p>
    <w:p w14:paraId="194A842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最高限价：</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highlight w:val="yellow"/>
        </w:rPr>
        <w:t>万元</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报价超过最高限价的为无效报价，按照无效响应处理。</w:t>
      </w:r>
    </w:p>
    <w:p w14:paraId="200C5F7C">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采购需求：详见磋商文件第四章</w:t>
      </w:r>
    </w:p>
    <w:p w14:paraId="7338A1AD">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服务期限：</w:t>
      </w: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highlight w:val="yellow"/>
          <w:lang w:val="en-US" w:eastAsia="zh-CN"/>
        </w:rPr>
        <w:t>一年</w:t>
      </w:r>
      <w:r>
        <w:rPr>
          <w:rFonts w:hint="eastAsia" w:ascii="宋体" w:hAnsi="宋体"/>
          <w:color w:val="auto"/>
          <w:sz w:val="24"/>
          <w:szCs w:val="24"/>
          <w:highlight w:val="none"/>
        </w:rPr>
        <w:t>（</w:t>
      </w:r>
      <w:r>
        <w:rPr>
          <w:rFonts w:hint="eastAsia" w:ascii="宋体" w:hAnsi="宋体" w:eastAsia="宋体" w:cs="宋体"/>
          <w:color w:val="FF0000"/>
          <w:szCs w:val="21"/>
          <w:lang w:val="en-US" w:eastAsia="zh-CN"/>
        </w:rPr>
        <w:t>该合同一年期满后，经采购人考核合格后续签下一年度服务合同，以此类推，最多自动顺延2次。在自动顺延期间，双方仍按本服务合同的条款履行和接受服务</w:t>
      </w:r>
      <w:r>
        <w:rPr>
          <w:rFonts w:hint="eastAsia" w:ascii="宋体" w:hAnsi="宋体"/>
          <w:color w:val="auto"/>
          <w:sz w:val="24"/>
          <w:szCs w:val="24"/>
          <w:highlight w:val="none"/>
        </w:rPr>
        <w:t>）</w:t>
      </w:r>
      <w:r>
        <w:rPr>
          <w:rFonts w:hint="eastAsia" w:ascii="宋体" w:hAnsi="宋体" w:cs="宋体"/>
          <w:color w:val="000000"/>
          <w:szCs w:val="21"/>
          <w:highlight w:val="yellow"/>
        </w:rPr>
        <w:t>。</w:t>
      </w:r>
    </w:p>
    <w:p w14:paraId="2920FF76">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w:t>
      </w:r>
      <w:r>
        <w:rPr>
          <w:rFonts w:hint="eastAsia" w:asciiTheme="majorEastAsia" w:hAnsiTheme="majorEastAsia" w:eastAsiaTheme="majorEastAsia" w:cstheme="majorEastAsia"/>
          <w:sz w:val="24"/>
          <w:szCs w:val="24"/>
          <w:u w:val="single"/>
        </w:rPr>
        <w:t>不接受</w:t>
      </w:r>
      <w:r>
        <w:rPr>
          <w:rFonts w:hint="eastAsia" w:asciiTheme="majorEastAsia" w:hAnsiTheme="majorEastAsia" w:eastAsiaTheme="majorEastAsia" w:cstheme="majorEastAsia"/>
          <w:sz w:val="24"/>
          <w:szCs w:val="24"/>
        </w:rPr>
        <w:t>联合体。</w:t>
      </w:r>
      <w:bookmarkStart w:id="8" w:name="_Toc35393630"/>
      <w:bookmarkStart w:id="9" w:name="_Toc28359090"/>
      <w:bookmarkStart w:id="10" w:name="_Toc35393799"/>
      <w:bookmarkStart w:id="11" w:name="_Toc28359013"/>
    </w:p>
    <w:p w14:paraId="333C871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w:t>
      </w:r>
      <w:r>
        <w:rPr>
          <w:rFonts w:hint="eastAsia" w:asciiTheme="majorEastAsia" w:hAnsiTheme="majorEastAsia" w:eastAsiaTheme="majorEastAsia" w:cstheme="majorEastAsia"/>
          <w:sz w:val="24"/>
          <w:szCs w:val="24"/>
          <w:u w:val="single"/>
        </w:rPr>
        <w:t>不接受</w:t>
      </w:r>
      <w:r>
        <w:rPr>
          <w:rFonts w:hint="eastAsia" w:asciiTheme="majorEastAsia" w:hAnsiTheme="majorEastAsia" w:eastAsiaTheme="majorEastAsia" w:cstheme="majorEastAsia"/>
          <w:sz w:val="24"/>
          <w:szCs w:val="24"/>
        </w:rPr>
        <w:t>进口产品。</w:t>
      </w:r>
    </w:p>
    <w:p w14:paraId="03609DF2">
      <w:pPr>
        <w:pageBreakBefore w:val="0"/>
        <w:overflowPunct/>
        <w:topLinePunct w:val="0"/>
        <w:bidi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二、申请人的资格要求：</w:t>
      </w:r>
      <w:bookmarkEnd w:id="8"/>
      <w:bookmarkEnd w:id="9"/>
      <w:bookmarkEnd w:id="10"/>
      <w:bookmarkEnd w:id="11"/>
    </w:p>
    <w:p w14:paraId="17450F53">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bookmarkStart w:id="12" w:name="_Toc28359091"/>
      <w:bookmarkStart w:id="13" w:name="_Toc28359014"/>
      <w:r>
        <w:rPr>
          <w:rFonts w:hint="eastAsia" w:asciiTheme="majorEastAsia" w:hAnsiTheme="majorEastAsia" w:eastAsiaTheme="majorEastAsia" w:cstheme="majorEastAsia"/>
          <w:sz w:val="24"/>
          <w:szCs w:val="24"/>
        </w:rPr>
        <w:t>1.供应商需满足以下条件，并提供证明材料：</w:t>
      </w:r>
    </w:p>
    <w:p w14:paraId="7990CEC4">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bookmarkStart w:id="14" w:name="_Hlk163045596"/>
      <w:bookmarkStart w:id="15" w:name="_Hlk157610575"/>
      <w:r>
        <w:rPr>
          <w:rFonts w:hint="eastAsia" w:asciiTheme="majorEastAsia" w:hAnsiTheme="majorEastAsia" w:eastAsiaTheme="majorEastAsia" w:cstheme="majorEastAsia"/>
          <w:i/>
          <w:sz w:val="24"/>
          <w:szCs w:val="24"/>
          <w:u w:val="single"/>
        </w:rPr>
        <w:t>1.1磋商响应函</w:t>
      </w:r>
      <w:r>
        <w:rPr>
          <w:rFonts w:hint="eastAsia" w:asciiTheme="majorEastAsia" w:hAnsiTheme="majorEastAsia" w:eastAsiaTheme="majorEastAsia" w:cstheme="majorEastAsia"/>
          <w:b/>
          <w:i/>
          <w:sz w:val="24"/>
          <w:szCs w:val="24"/>
          <w:u w:val="single"/>
        </w:rPr>
        <w:t>（原件）</w:t>
      </w:r>
    </w:p>
    <w:p w14:paraId="17AB114D">
      <w:pPr>
        <w:pageBreakBefore w:val="0"/>
        <w:overflowPunct/>
        <w:topLinePunct w:val="0"/>
        <w:bidi w:val="0"/>
        <w:spacing w:line="360" w:lineRule="auto"/>
        <w:ind w:firstLine="480" w:firstLineChars="200"/>
        <w:rPr>
          <w:rFonts w:hint="eastAsia" w:asciiTheme="majorEastAsia" w:hAnsiTheme="majorEastAsia" w:eastAsiaTheme="majorEastAsia" w:cstheme="majorEastAsia"/>
          <w:b/>
          <w:i/>
          <w:sz w:val="24"/>
          <w:szCs w:val="24"/>
          <w:u w:val="single"/>
        </w:rPr>
      </w:pPr>
      <w:r>
        <w:rPr>
          <w:rFonts w:hint="eastAsia" w:asciiTheme="majorEastAsia" w:hAnsiTheme="majorEastAsia" w:eastAsiaTheme="majorEastAsia" w:cstheme="majorEastAsia"/>
          <w:i/>
          <w:sz w:val="24"/>
          <w:szCs w:val="24"/>
          <w:u w:val="single"/>
        </w:rPr>
        <w:t>1.2资格声明</w:t>
      </w:r>
      <w:r>
        <w:rPr>
          <w:rFonts w:hint="eastAsia" w:asciiTheme="majorEastAsia" w:hAnsiTheme="majorEastAsia" w:eastAsiaTheme="majorEastAsia" w:cstheme="majorEastAsia"/>
          <w:b/>
          <w:i/>
          <w:sz w:val="24"/>
          <w:szCs w:val="24"/>
          <w:u w:val="single"/>
        </w:rPr>
        <w:t>（原件）</w:t>
      </w:r>
    </w:p>
    <w:p w14:paraId="587C043F">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bCs/>
          <w:i/>
          <w:sz w:val="24"/>
          <w:szCs w:val="24"/>
          <w:u w:val="single"/>
        </w:rPr>
        <w:t>1.3</w:t>
      </w:r>
      <w:r>
        <w:rPr>
          <w:rFonts w:hint="eastAsia" w:asciiTheme="majorEastAsia" w:hAnsiTheme="majorEastAsia" w:eastAsiaTheme="majorEastAsia" w:cstheme="majorEastAsia"/>
          <w:b/>
          <w:bCs/>
          <w:i/>
          <w:sz w:val="24"/>
          <w:szCs w:val="24"/>
          <w:u w:val="single"/>
        </w:rPr>
        <w:t xml:space="preserve"> </w:t>
      </w:r>
      <w:r>
        <w:rPr>
          <w:rFonts w:hint="eastAsia" w:asciiTheme="majorEastAsia" w:hAnsiTheme="majorEastAsia" w:eastAsiaTheme="majorEastAsia" w:cstheme="majorEastAsia"/>
          <w:i/>
          <w:sz w:val="24"/>
          <w:szCs w:val="24"/>
          <w:u w:val="single"/>
        </w:rPr>
        <w:t>法人或者其他组织的营业执照等证明文件、自然人的身份证明</w:t>
      </w:r>
      <w:r>
        <w:rPr>
          <w:rFonts w:hint="eastAsia" w:asciiTheme="majorEastAsia" w:hAnsiTheme="majorEastAsia" w:eastAsiaTheme="majorEastAsia" w:cstheme="majorEastAsia"/>
          <w:b/>
          <w:bCs/>
          <w:i/>
          <w:sz w:val="24"/>
          <w:szCs w:val="24"/>
          <w:u w:val="single"/>
        </w:rPr>
        <w:t xml:space="preserve"> (复印件加盖供应商公章)</w:t>
      </w:r>
    </w:p>
    <w:p w14:paraId="055C2537">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1.4若法定代表人参加投标的，须提供本人身份证复印件</w:t>
      </w:r>
      <w:r>
        <w:rPr>
          <w:rFonts w:hint="eastAsia" w:asciiTheme="majorEastAsia" w:hAnsiTheme="majorEastAsia" w:eastAsiaTheme="majorEastAsia" w:cstheme="majorEastAsia"/>
          <w:b/>
          <w:bCs/>
          <w:i/>
          <w:sz w:val="24"/>
          <w:szCs w:val="24"/>
          <w:u w:val="single"/>
        </w:rPr>
        <w:t>(原件备查)</w:t>
      </w:r>
      <w:r>
        <w:rPr>
          <w:rFonts w:hint="eastAsia" w:asciiTheme="majorEastAsia" w:hAnsiTheme="majorEastAsia" w:eastAsiaTheme="majorEastAsia" w:cstheme="majorEastAsia"/>
          <w:i/>
          <w:sz w:val="24"/>
          <w:szCs w:val="24"/>
          <w:u w:val="single"/>
        </w:rPr>
        <w:t>；若授权代表参加的，须提供《法人授权书》原件和授权代表身份证复印件</w:t>
      </w:r>
      <w:r>
        <w:rPr>
          <w:rFonts w:hint="eastAsia" w:asciiTheme="majorEastAsia" w:hAnsiTheme="majorEastAsia" w:eastAsiaTheme="majorEastAsia" w:cstheme="majorEastAsia"/>
          <w:b/>
          <w:bCs/>
          <w:i/>
          <w:sz w:val="24"/>
          <w:szCs w:val="24"/>
          <w:u w:val="single"/>
        </w:rPr>
        <w:t>（原件备查）</w:t>
      </w:r>
    </w:p>
    <w:p w14:paraId="16A51490">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1.5 依法缴纳职工社会保障资金的证明材料</w:t>
      </w:r>
      <w:r>
        <w:rPr>
          <w:rFonts w:hint="eastAsia" w:asciiTheme="majorEastAsia" w:hAnsiTheme="majorEastAsia" w:eastAsiaTheme="majorEastAsia" w:cstheme="majorEastAsia"/>
          <w:b/>
          <w:bCs/>
          <w:i/>
          <w:sz w:val="24"/>
          <w:szCs w:val="24"/>
          <w:u w:val="single"/>
        </w:rPr>
        <w:t>(复印件加盖供应商公章)(税务、银行或社会保险基金管理部门出具的近三个月内任意一个月缴纳职工社会保障资金的缴款凭证或缴款证明)</w:t>
      </w:r>
    </w:p>
    <w:p w14:paraId="640E577F">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1.6 供应商近三个月内任意一份依法纳税的缴款凭证</w:t>
      </w:r>
      <w:r>
        <w:rPr>
          <w:rFonts w:hint="eastAsia" w:asciiTheme="majorEastAsia" w:hAnsiTheme="majorEastAsia" w:eastAsiaTheme="majorEastAsia" w:cstheme="majorEastAsia"/>
          <w:b/>
          <w:bCs/>
          <w:i/>
          <w:sz w:val="24"/>
          <w:szCs w:val="24"/>
          <w:u w:val="single"/>
        </w:rPr>
        <w:t>(复印件加盖供应商公章)</w:t>
      </w:r>
    </w:p>
    <w:p w14:paraId="4E459F02">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1.7 上一年度财务报告</w:t>
      </w:r>
      <w:r>
        <w:rPr>
          <w:rFonts w:hint="eastAsia" w:asciiTheme="majorEastAsia" w:hAnsiTheme="majorEastAsia" w:eastAsiaTheme="majorEastAsia" w:cstheme="majorEastAsia"/>
          <w:b/>
          <w:bCs/>
          <w:i/>
          <w:sz w:val="24"/>
          <w:szCs w:val="24"/>
          <w:u w:val="single"/>
        </w:rPr>
        <w:t>(复印件加盖供应商公章)（成立不满一年无需提供）</w:t>
      </w:r>
    </w:p>
    <w:p w14:paraId="64608C1B">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1.8 参加本次采购活动前3年内在经营活动中没有重大违法记录的书面声明</w:t>
      </w:r>
      <w:r>
        <w:rPr>
          <w:rFonts w:hint="eastAsia" w:asciiTheme="majorEastAsia" w:hAnsiTheme="majorEastAsia" w:eastAsiaTheme="majorEastAsia" w:cstheme="majorEastAsia"/>
          <w:b/>
          <w:bCs/>
          <w:i/>
          <w:sz w:val="24"/>
          <w:szCs w:val="24"/>
          <w:u w:val="single"/>
        </w:rPr>
        <w:t>（原件）</w:t>
      </w:r>
    </w:p>
    <w:p w14:paraId="0727CEC6">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1.9未被“信用中国”网站（www.creditchina.gov.cn）、“中国政府采购网"(www.ccgp.gov.cn)列入失信被执行人、重大税收违法案件当事人名单、政府采购严重违法失信行为记录名单</w:t>
      </w:r>
    </w:p>
    <w:bookmarkEnd w:id="14"/>
    <w:p w14:paraId="7894E485">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2.本项目的特定资格要求：/</w:t>
      </w:r>
    </w:p>
    <w:bookmarkEnd w:id="15"/>
    <w:p w14:paraId="1FE522AE">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color w:val="000000"/>
          <w:sz w:val="24"/>
          <w:szCs w:val="24"/>
        </w:rPr>
        <w:t>3.拒绝下述供应商参加本次采购活动：</w:t>
      </w:r>
    </w:p>
    <w:p w14:paraId="0FC7C384">
      <w:pPr>
        <w:pageBreakBefore w:val="0"/>
        <w:overflowPunct/>
        <w:topLinePunct w:val="0"/>
        <w:bidi w:val="0"/>
        <w:snapToGrid w:val="0"/>
        <w:spacing w:line="360" w:lineRule="auto"/>
        <w:ind w:firstLine="360" w:firstLineChars="15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（1）供应商单位负责人为同一人或者存在直接控股、管理关系的不同供应商，不得参加同一合同项下的采购活动。</w:t>
      </w:r>
    </w:p>
    <w:p w14:paraId="614A9503">
      <w:pPr>
        <w:pageBreakBefore w:val="0"/>
        <w:overflowPunct/>
        <w:topLinePunct w:val="0"/>
        <w:bidi w:val="0"/>
        <w:snapToGrid w:val="0"/>
        <w:spacing w:line="360" w:lineRule="auto"/>
        <w:ind w:firstLine="360" w:firstLineChars="15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（2）凡为采购项目提供整体设计、规范编制或者项目管理、监理、检测等服务的供应商，不得再参加该项目的采购活动。</w:t>
      </w:r>
    </w:p>
    <w:p w14:paraId="6C549529">
      <w:pPr>
        <w:pageBreakBefore w:val="0"/>
        <w:overflowPunct/>
        <w:topLinePunct w:val="0"/>
        <w:bidi w:val="0"/>
        <w:snapToGrid w:val="0"/>
        <w:spacing w:line="360" w:lineRule="auto"/>
        <w:ind w:firstLine="360" w:firstLineChars="15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（3）供应商被“信用中国”网站（www.creditchina.gov.cn）、“中国政府采购网"(www.ccgp.gov.cn)列入失信被执行人、重大税收违法案件当事人名单、政府采购严重违法失信行为记录名单。</w:t>
      </w:r>
    </w:p>
    <w:p w14:paraId="418A2FAA">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4.集中考察或召开答疑会：无</w:t>
      </w:r>
    </w:p>
    <w:p w14:paraId="0C447428">
      <w:pPr>
        <w:pStyle w:val="18"/>
        <w:pageBreakBefore w:val="0"/>
        <w:overflowPunct/>
        <w:topLinePunct w:val="0"/>
        <w:bidi w:val="0"/>
        <w:spacing w:line="360" w:lineRule="auto"/>
        <w:ind w:firstLine="0" w:firstLineChars="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三、获取采购文件</w:t>
      </w:r>
    </w:p>
    <w:p w14:paraId="53FD1E6A">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highlight w:val="yellow"/>
        </w:rPr>
        <w:t>时间：2024年</w:t>
      </w:r>
      <w:r>
        <w:rPr>
          <w:rFonts w:hint="eastAsia" w:asciiTheme="majorEastAsia" w:hAnsiTheme="majorEastAsia" w:eastAsiaTheme="majorEastAsia" w:cstheme="majorEastAsia"/>
          <w:sz w:val="24"/>
          <w:szCs w:val="24"/>
          <w:highlight w:val="yellow"/>
          <w:lang w:val="en-US" w:eastAsia="zh-CN"/>
        </w:rPr>
        <w:t>12</w:t>
      </w:r>
      <w:r>
        <w:rPr>
          <w:rFonts w:hint="eastAsia" w:asciiTheme="majorEastAsia" w:hAnsiTheme="majorEastAsia" w:eastAsiaTheme="majorEastAsia" w:cstheme="majorEastAsia"/>
          <w:sz w:val="24"/>
          <w:szCs w:val="24"/>
          <w:highlight w:val="yellow"/>
        </w:rPr>
        <w:t>月</w:t>
      </w:r>
      <w:r>
        <w:rPr>
          <w:rFonts w:hint="eastAsia" w:asciiTheme="majorEastAsia" w:hAnsiTheme="majorEastAsia" w:eastAsiaTheme="majorEastAsia" w:cstheme="majorEastAsia"/>
          <w:sz w:val="24"/>
          <w:szCs w:val="24"/>
          <w:highlight w:val="yellow"/>
          <w:lang w:val="en-US" w:eastAsia="zh-CN"/>
        </w:rPr>
        <w:t xml:space="preserve">  </w:t>
      </w:r>
      <w:r>
        <w:rPr>
          <w:rFonts w:hint="eastAsia" w:asciiTheme="majorEastAsia" w:hAnsiTheme="majorEastAsia" w:eastAsiaTheme="majorEastAsia" w:cstheme="majorEastAsia"/>
          <w:sz w:val="24"/>
          <w:szCs w:val="24"/>
          <w:highlight w:val="yellow"/>
        </w:rPr>
        <w:t>日9</w:t>
      </w:r>
      <w:r>
        <w:rPr>
          <w:rFonts w:hint="eastAsia" w:ascii="微软雅黑" w:hAnsi="微软雅黑" w:eastAsia="微软雅黑" w:cs="微软雅黑"/>
          <w:sz w:val="24"/>
          <w:szCs w:val="24"/>
          <w:highlight w:val="yellow"/>
        </w:rPr>
        <w:t>︰</w:t>
      </w:r>
      <w:r>
        <w:rPr>
          <w:rFonts w:hint="eastAsia" w:asciiTheme="majorEastAsia" w:hAnsiTheme="majorEastAsia" w:eastAsiaTheme="majorEastAsia" w:cstheme="majorEastAsia"/>
          <w:sz w:val="24"/>
          <w:szCs w:val="24"/>
          <w:highlight w:val="yellow"/>
        </w:rPr>
        <w:t>00-2024年</w:t>
      </w:r>
      <w:r>
        <w:rPr>
          <w:rFonts w:hint="eastAsia" w:asciiTheme="majorEastAsia" w:hAnsiTheme="majorEastAsia" w:eastAsiaTheme="majorEastAsia" w:cstheme="majorEastAsia"/>
          <w:sz w:val="24"/>
          <w:szCs w:val="24"/>
          <w:highlight w:val="yellow"/>
          <w:lang w:val="en-US" w:eastAsia="zh-CN"/>
        </w:rPr>
        <w:t>12</w:t>
      </w:r>
      <w:r>
        <w:rPr>
          <w:rFonts w:hint="eastAsia" w:asciiTheme="majorEastAsia" w:hAnsiTheme="majorEastAsia" w:eastAsiaTheme="majorEastAsia" w:cstheme="majorEastAsia"/>
          <w:sz w:val="24"/>
          <w:szCs w:val="24"/>
          <w:highlight w:val="yellow"/>
        </w:rPr>
        <w:t>月</w:t>
      </w:r>
      <w:r>
        <w:rPr>
          <w:rFonts w:hint="eastAsia" w:asciiTheme="majorEastAsia" w:hAnsiTheme="majorEastAsia" w:eastAsiaTheme="majorEastAsia" w:cstheme="majorEastAsia"/>
          <w:sz w:val="24"/>
          <w:szCs w:val="24"/>
          <w:highlight w:val="yellow"/>
          <w:lang w:val="en-US" w:eastAsia="zh-CN"/>
        </w:rPr>
        <w:t xml:space="preserve">  </w:t>
      </w:r>
      <w:r>
        <w:rPr>
          <w:rFonts w:hint="eastAsia" w:asciiTheme="majorEastAsia" w:hAnsiTheme="majorEastAsia" w:eastAsiaTheme="majorEastAsia" w:cstheme="majorEastAsia"/>
          <w:sz w:val="24"/>
          <w:szCs w:val="24"/>
          <w:highlight w:val="yellow"/>
        </w:rPr>
        <w:t>日17</w:t>
      </w:r>
      <w:r>
        <w:rPr>
          <w:rFonts w:hint="eastAsia" w:ascii="微软雅黑" w:hAnsi="微软雅黑" w:eastAsia="微软雅黑" w:cs="微软雅黑"/>
          <w:sz w:val="24"/>
          <w:szCs w:val="24"/>
          <w:highlight w:val="yellow"/>
        </w:rPr>
        <w:t>︰</w:t>
      </w:r>
      <w:r>
        <w:rPr>
          <w:rFonts w:hint="eastAsia" w:asciiTheme="majorEastAsia" w:hAnsiTheme="majorEastAsia" w:eastAsiaTheme="majorEastAsia" w:cstheme="majorEastAsia"/>
          <w:sz w:val="24"/>
          <w:szCs w:val="24"/>
          <w:highlight w:val="yellow"/>
        </w:rPr>
        <w:t>00（法定节假日除外）</w:t>
      </w:r>
    </w:p>
    <w:p w14:paraId="7CEB76BC">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地点：仪征传承招投标代理有限公司</w:t>
      </w:r>
    </w:p>
    <w:p w14:paraId="7DFC72E9">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方式：线下获取</w:t>
      </w:r>
    </w:p>
    <w:bookmarkEnd w:id="12"/>
    <w:bookmarkEnd w:id="13"/>
    <w:p w14:paraId="0E8673F6">
      <w:pPr>
        <w:pageBreakBefore w:val="0"/>
        <w:overflowPunct/>
        <w:topLinePunct w:val="0"/>
        <w:bidi w:val="0"/>
        <w:spacing w:line="360" w:lineRule="auto"/>
        <w:rPr>
          <w:rFonts w:hint="eastAsia" w:asciiTheme="majorEastAsia" w:hAnsiTheme="majorEastAsia" w:eastAsiaTheme="majorEastAsia" w:cstheme="majorEastAsia"/>
          <w:b/>
          <w:sz w:val="24"/>
          <w:szCs w:val="24"/>
        </w:rPr>
      </w:pPr>
      <w:bookmarkStart w:id="16" w:name="_Toc35393801"/>
      <w:bookmarkStart w:id="17" w:name="_Toc28359015"/>
      <w:bookmarkStart w:id="18" w:name="_Toc28359092"/>
      <w:bookmarkStart w:id="19" w:name="_Toc35393632"/>
      <w:r>
        <w:rPr>
          <w:rFonts w:hint="eastAsia" w:asciiTheme="majorEastAsia" w:hAnsiTheme="majorEastAsia" w:eastAsiaTheme="majorEastAsia" w:cstheme="majorEastAsia"/>
          <w:b/>
          <w:sz w:val="24"/>
          <w:szCs w:val="24"/>
        </w:rPr>
        <w:t>四、响应文件提交</w:t>
      </w:r>
      <w:bookmarkEnd w:id="16"/>
      <w:bookmarkEnd w:id="17"/>
      <w:bookmarkEnd w:id="18"/>
      <w:bookmarkEnd w:id="19"/>
    </w:p>
    <w:p w14:paraId="15C9AADF">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highlight w:val="yellow"/>
          <w:u w:val="single"/>
        </w:rPr>
      </w:pPr>
      <w:r>
        <w:rPr>
          <w:rFonts w:hint="eastAsia" w:asciiTheme="majorEastAsia" w:hAnsiTheme="majorEastAsia" w:eastAsiaTheme="majorEastAsia" w:cstheme="majorEastAsia"/>
          <w:sz w:val="24"/>
          <w:szCs w:val="24"/>
          <w:highlight w:val="yellow"/>
        </w:rPr>
        <w:t>截止时间：</w:t>
      </w:r>
      <w:r>
        <w:rPr>
          <w:rFonts w:hint="eastAsia" w:asciiTheme="majorEastAsia" w:hAnsiTheme="majorEastAsia" w:eastAsiaTheme="majorEastAsia" w:cstheme="majorEastAsia"/>
          <w:sz w:val="24"/>
          <w:szCs w:val="24"/>
          <w:highlight w:val="yellow"/>
          <w:u w:val="single"/>
        </w:rPr>
        <w:t>2024年</w:t>
      </w:r>
      <w:r>
        <w:rPr>
          <w:rFonts w:hint="eastAsia" w:asciiTheme="majorEastAsia" w:hAnsiTheme="majorEastAsia" w:eastAsiaTheme="majorEastAsia" w:cstheme="majorEastAsia"/>
          <w:sz w:val="24"/>
          <w:szCs w:val="24"/>
          <w:highlight w:val="yellow"/>
          <w:u w:val="single"/>
          <w:lang w:val="en-US" w:eastAsia="zh-CN"/>
        </w:rPr>
        <w:t>12</w:t>
      </w:r>
      <w:r>
        <w:rPr>
          <w:rFonts w:hint="eastAsia" w:asciiTheme="majorEastAsia" w:hAnsiTheme="majorEastAsia" w:eastAsiaTheme="majorEastAsia" w:cstheme="majorEastAsia"/>
          <w:sz w:val="24"/>
          <w:szCs w:val="24"/>
          <w:highlight w:val="yellow"/>
          <w:u w:val="single"/>
        </w:rPr>
        <w:t>月</w:t>
      </w:r>
      <w:r>
        <w:rPr>
          <w:rFonts w:hint="eastAsia" w:asciiTheme="majorEastAsia" w:hAnsiTheme="majorEastAsia" w:eastAsiaTheme="majorEastAsia" w:cstheme="majorEastAsia"/>
          <w:sz w:val="24"/>
          <w:szCs w:val="24"/>
          <w:highlight w:val="yellow"/>
          <w:u w:val="single"/>
          <w:lang w:val="en-US" w:eastAsia="zh-CN"/>
        </w:rPr>
        <w:t xml:space="preserve">  </w:t>
      </w:r>
      <w:r>
        <w:rPr>
          <w:rFonts w:hint="eastAsia" w:asciiTheme="majorEastAsia" w:hAnsiTheme="majorEastAsia" w:eastAsiaTheme="majorEastAsia" w:cstheme="majorEastAsia"/>
          <w:sz w:val="24"/>
          <w:szCs w:val="24"/>
          <w:highlight w:val="yellow"/>
          <w:u w:val="single"/>
        </w:rPr>
        <w:t>日09︰00</w:t>
      </w:r>
      <w:r>
        <w:rPr>
          <w:rFonts w:hint="eastAsia" w:asciiTheme="majorEastAsia" w:hAnsiTheme="majorEastAsia" w:eastAsiaTheme="majorEastAsia" w:cstheme="majorEastAsia"/>
          <w:bCs/>
          <w:sz w:val="24"/>
          <w:szCs w:val="24"/>
          <w:highlight w:val="yellow"/>
        </w:rPr>
        <w:t>（北京时间）</w:t>
      </w:r>
    </w:p>
    <w:p w14:paraId="37FAE26F">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地点：仪征市真州镇真州东路舜莘商业广场511-512室（碧乐汇北门五楼）(仪征传承招投标代理有限公司开标室)</w:t>
      </w:r>
    </w:p>
    <w:p w14:paraId="42459FED">
      <w:pPr>
        <w:pageBreakBefore w:val="0"/>
        <w:overflowPunct/>
        <w:topLinePunct w:val="0"/>
        <w:bidi w:val="0"/>
        <w:spacing w:line="360" w:lineRule="auto"/>
        <w:rPr>
          <w:rFonts w:hint="eastAsia" w:asciiTheme="majorEastAsia" w:hAnsiTheme="majorEastAsia" w:eastAsiaTheme="majorEastAsia" w:cstheme="majorEastAsia"/>
          <w:b/>
          <w:sz w:val="24"/>
          <w:szCs w:val="24"/>
        </w:rPr>
      </w:pPr>
      <w:bookmarkStart w:id="20" w:name="_Toc28359016"/>
      <w:bookmarkStart w:id="21" w:name="_Toc35393802"/>
      <w:bookmarkStart w:id="22" w:name="_Toc35393633"/>
      <w:bookmarkStart w:id="23" w:name="_Toc28359093"/>
      <w:r>
        <w:rPr>
          <w:rFonts w:hint="eastAsia" w:asciiTheme="majorEastAsia" w:hAnsiTheme="majorEastAsia" w:eastAsiaTheme="majorEastAsia" w:cstheme="majorEastAsia"/>
          <w:b/>
          <w:sz w:val="24"/>
          <w:szCs w:val="24"/>
        </w:rPr>
        <w:t>五、开启</w:t>
      </w:r>
      <w:bookmarkEnd w:id="20"/>
      <w:bookmarkEnd w:id="21"/>
      <w:bookmarkEnd w:id="22"/>
      <w:bookmarkEnd w:id="23"/>
    </w:p>
    <w:p w14:paraId="4AC729D5">
      <w:pPr>
        <w:pageBreakBefore w:val="0"/>
        <w:overflowPunct/>
        <w:topLinePunct w:val="0"/>
        <w:bidi w:val="0"/>
        <w:spacing w:line="360" w:lineRule="auto"/>
        <w:ind w:firstLine="480" w:firstLineChars="200"/>
        <w:rPr>
          <w:rFonts w:hint="eastAsia" w:asciiTheme="majorEastAsia" w:hAnsiTheme="majorEastAsia" w:eastAsiaTheme="majorEastAsia" w:cstheme="majorEastAsia"/>
          <w:bCs/>
          <w:sz w:val="24"/>
          <w:szCs w:val="24"/>
          <w:highlight w:val="yellow"/>
          <w:u w:val="single"/>
        </w:rPr>
      </w:pPr>
      <w:r>
        <w:rPr>
          <w:rFonts w:hint="eastAsia" w:asciiTheme="majorEastAsia" w:hAnsiTheme="majorEastAsia" w:eastAsiaTheme="majorEastAsia" w:cstheme="majorEastAsia"/>
          <w:sz w:val="24"/>
          <w:szCs w:val="24"/>
          <w:highlight w:val="yellow"/>
        </w:rPr>
        <w:t>时间：</w:t>
      </w:r>
      <w:r>
        <w:rPr>
          <w:rFonts w:hint="eastAsia" w:asciiTheme="majorEastAsia" w:hAnsiTheme="majorEastAsia" w:eastAsiaTheme="majorEastAsia" w:cstheme="majorEastAsia"/>
          <w:sz w:val="24"/>
          <w:szCs w:val="24"/>
          <w:highlight w:val="yellow"/>
          <w:u w:val="single"/>
        </w:rPr>
        <w:t>2024年</w:t>
      </w:r>
      <w:r>
        <w:rPr>
          <w:rFonts w:hint="eastAsia" w:asciiTheme="majorEastAsia" w:hAnsiTheme="majorEastAsia" w:eastAsiaTheme="majorEastAsia" w:cstheme="majorEastAsia"/>
          <w:sz w:val="24"/>
          <w:szCs w:val="24"/>
          <w:highlight w:val="yellow"/>
          <w:u w:val="single"/>
          <w:lang w:val="en-US" w:eastAsia="zh-CN"/>
        </w:rPr>
        <w:t>12</w:t>
      </w:r>
      <w:r>
        <w:rPr>
          <w:rFonts w:hint="eastAsia" w:asciiTheme="majorEastAsia" w:hAnsiTheme="majorEastAsia" w:eastAsiaTheme="majorEastAsia" w:cstheme="majorEastAsia"/>
          <w:sz w:val="24"/>
          <w:szCs w:val="24"/>
          <w:highlight w:val="yellow"/>
          <w:u w:val="single"/>
        </w:rPr>
        <w:t>月</w:t>
      </w:r>
      <w:r>
        <w:rPr>
          <w:rFonts w:hint="eastAsia" w:asciiTheme="majorEastAsia" w:hAnsiTheme="majorEastAsia" w:eastAsiaTheme="majorEastAsia" w:cstheme="majorEastAsia"/>
          <w:sz w:val="24"/>
          <w:szCs w:val="24"/>
          <w:highlight w:val="yellow"/>
          <w:u w:val="single"/>
          <w:lang w:val="en-US" w:eastAsia="zh-CN"/>
        </w:rPr>
        <w:t xml:space="preserve">   </w:t>
      </w:r>
      <w:r>
        <w:rPr>
          <w:rFonts w:hint="eastAsia" w:asciiTheme="majorEastAsia" w:hAnsiTheme="majorEastAsia" w:eastAsiaTheme="majorEastAsia" w:cstheme="majorEastAsia"/>
          <w:sz w:val="24"/>
          <w:szCs w:val="24"/>
          <w:highlight w:val="yellow"/>
          <w:u w:val="single"/>
        </w:rPr>
        <w:t>日09︰00</w:t>
      </w:r>
      <w:r>
        <w:rPr>
          <w:rFonts w:hint="eastAsia" w:asciiTheme="majorEastAsia" w:hAnsiTheme="majorEastAsia" w:eastAsiaTheme="majorEastAsia" w:cstheme="majorEastAsia"/>
          <w:bCs/>
          <w:sz w:val="24"/>
          <w:szCs w:val="24"/>
          <w:highlight w:val="yellow"/>
        </w:rPr>
        <w:t>（北京时间）</w:t>
      </w:r>
    </w:p>
    <w:p w14:paraId="69EA6328">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地点：仪征市真州镇真州东路舜莘商业广场511-512室（碧乐汇北门五楼）(仪征传承招投标代理有限公司开标室)</w:t>
      </w:r>
    </w:p>
    <w:p w14:paraId="08C8C1A7">
      <w:pPr>
        <w:pageBreakBefore w:val="0"/>
        <w:overflowPunct/>
        <w:topLinePunct w:val="0"/>
        <w:bidi w:val="0"/>
        <w:spacing w:line="360" w:lineRule="auto"/>
        <w:rPr>
          <w:rFonts w:hint="eastAsia" w:asciiTheme="majorEastAsia" w:hAnsiTheme="majorEastAsia" w:eastAsiaTheme="majorEastAsia" w:cstheme="majorEastAsia"/>
          <w:b/>
          <w:sz w:val="24"/>
          <w:szCs w:val="24"/>
        </w:rPr>
      </w:pPr>
      <w:bookmarkStart w:id="24" w:name="_Toc28359094"/>
      <w:bookmarkStart w:id="25" w:name="_Toc28359017"/>
      <w:bookmarkStart w:id="26" w:name="_Toc35393803"/>
      <w:bookmarkStart w:id="27" w:name="_Toc35393634"/>
      <w:r>
        <w:rPr>
          <w:rFonts w:hint="eastAsia" w:asciiTheme="majorEastAsia" w:hAnsiTheme="majorEastAsia" w:eastAsiaTheme="majorEastAsia" w:cstheme="majorEastAsia"/>
          <w:b/>
          <w:sz w:val="24"/>
          <w:szCs w:val="24"/>
        </w:rPr>
        <w:t>六、公告期限</w:t>
      </w:r>
      <w:bookmarkEnd w:id="24"/>
      <w:bookmarkEnd w:id="25"/>
      <w:bookmarkEnd w:id="26"/>
      <w:bookmarkEnd w:id="27"/>
    </w:p>
    <w:p w14:paraId="3C041077">
      <w:pPr>
        <w:pageBreakBefore w:val="0"/>
        <w:overflowPunct/>
        <w:topLinePunct w:val="0"/>
        <w:bidi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自本公告发布之日起5个工作日。</w:t>
      </w:r>
    </w:p>
    <w:p w14:paraId="556B8AE7">
      <w:pPr>
        <w:pageBreakBefore w:val="0"/>
        <w:overflowPunct/>
        <w:topLinePunct w:val="0"/>
        <w:bidi w:val="0"/>
        <w:spacing w:line="360" w:lineRule="auto"/>
        <w:rPr>
          <w:rFonts w:hint="eastAsia" w:asciiTheme="majorEastAsia" w:hAnsiTheme="majorEastAsia" w:eastAsiaTheme="majorEastAsia" w:cstheme="majorEastAsia"/>
          <w:b/>
          <w:sz w:val="24"/>
          <w:szCs w:val="24"/>
        </w:rPr>
      </w:pPr>
      <w:bookmarkStart w:id="28" w:name="_Toc35393635"/>
      <w:bookmarkStart w:id="29" w:name="_Toc35393804"/>
      <w:r>
        <w:rPr>
          <w:rFonts w:hint="eastAsia" w:asciiTheme="majorEastAsia" w:hAnsiTheme="majorEastAsia" w:eastAsiaTheme="majorEastAsia" w:cstheme="majorEastAsia"/>
          <w:b/>
          <w:sz w:val="24"/>
          <w:szCs w:val="24"/>
        </w:rPr>
        <w:t>七、其他补充事宜</w:t>
      </w:r>
      <w:bookmarkEnd w:id="28"/>
      <w:bookmarkEnd w:id="29"/>
    </w:p>
    <w:p w14:paraId="4390E56D">
      <w:pPr>
        <w:pageBreakBefore w:val="0"/>
        <w:widowControl/>
        <w:shd w:val="clear" w:color="auto" w:fill="FFFFFF"/>
        <w:overflowPunct/>
        <w:topLinePunct w:val="0"/>
        <w:bidi w:val="0"/>
        <w:spacing w:line="360" w:lineRule="auto"/>
        <w:ind w:firstLine="482" w:firstLineChars="200"/>
        <w:jc w:val="left"/>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i/>
          <w:sz w:val="24"/>
          <w:szCs w:val="24"/>
          <w:u w:val="single"/>
        </w:rPr>
        <w:t>本磋商文件中斜体下划线部分为实质性响应条件，为必须遵守的条件，如不满足将作无效响应文件处理。</w:t>
      </w:r>
    </w:p>
    <w:p w14:paraId="4160E659">
      <w:pPr>
        <w:pageBreakBefore w:val="0"/>
        <w:widowControl/>
        <w:shd w:val="clear" w:color="auto" w:fill="FFFFFF"/>
        <w:overflowPunct/>
        <w:topLinePunct w:val="0"/>
        <w:bidi w:val="0"/>
        <w:spacing w:line="360" w:lineRule="auto"/>
        <w:ind w:firstLine="482" w:firstLineChars="200"/>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2.本磋商文件提供及公告期限</w:t>
      </w:r>
    </w:p>
    <w:p w14:paraId="28411851">
      <w:pPr>
        <w:pageBreakBefore w:val="0"/>
        <w:widowControl/>
        <w:shd w:val="clear" w:color="auto" w:fill="FFFFFF"/>
        <w:overflowPunct/>
        <w:topLinePunct w:val="0"/>
        <w:bidi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自竞争性磋商公告在江苏省招标投标公共服务平台、仪征市中医院官网发布之日起5个工作日。供应商如确定参加投标，请如实填写《供应商参加投标确认函》，</w:t>
      </w:r>
      <w:r>
        <w:rPr>
          <w:rFonts w:hint="eastAsia" w:asciiTheme="majorEastAsia" w:hAnsiTheme="majorEastAsia" w:eastAsiaTheme="majorEastAsia" w:cstheme="majorEastAsia"/>
          <w:sz w:val="24"/>
          <w:szCs w:val="24"/>
          <w:highlight w:val="yellow"/>
        </w:rPr>
        <w:t>在2024年</w:t>
      </w:r>
      <w:r>
        <w:rPr>
          <w:rFonts w:hint="eastAsia" w:asciiTheme="majorEastAsia" w:hAnsiTheme="majorEastAsia" w:eastAsiaTheme="majorEastAsia" w:cstheme="majorEastAsia"/>
          <w:sz w:val="24"/>
          <w:szCs w:val="24"/>
          <w:highlight w:val="yellow"/>
          <w:lang w:val="en-US" w:eastAsia="zh-CN"/>
        </w:rPr>
        <w:t>12</w:t>
      </w:r>
      <w:r>
        <w:rPr>
          <w:rFonts w:hint="eastAsia" w:asciiTheme="majorEastAsia" w:hAnsiTheme="majorEastAsia" w:eastAsiaTheme="majorEastAsia" w:cstheme="majorEastAsia"/>
          <w:sz w:val="24"/>
          <w:szCs w:val="24"/>
          <w:highlight w:val="yellow"/>
        </w:rPr>
        <w:t>月</w:t>
      </w:r>
      <w:r>
        <w:rPr>
          <w:rFonts w:hint="eastAsia" w:asciiTheme="majorEastAsia" w:hAnsiTheme="majorEastAsia" w:eastAsiaTheme="majorEastAsia" w:cstheme="majorEastAsia"/>
          <w:sz w:val="24"/>
          <w:szCs w:val="24"/>
          <w:highlight w:val="yellow"/>
          <w:lang w:val="en-US" w:eastAsia="zh-CN"/>
        </w:rPr>
        <w:t xml:space="preserve">  </w:t>
      </w:r>
      <w:r>
        <w:rPr>
          <w:rFonts w:hint="eastAsia" w:asciiTheme="majorEastAsia" w:hAnsiTheme="majorEastAsia" w:eastAsiaTheme="majorEastAsia" w:cstheme="majorEastAsia"/>
          <w:sz w:val="24"/>
          <w:szCs w:val="24"/>
          <w:highlight w:val="yellow"/>
        </w:rPr>
        <w:t>日 17︰00前（北京时间，法定节假日除外）前</w:t>
      </w:r>
      <w:r>
        <w:rPr>
          <w:rFonts w:hint="eastAsia" w:asciiTheme="majorEastAsia" w:hAnsiTheme="majorEastAsia" w:eastAsiaTheme="majorEastAsia" w:cstheme="majorEastAsia"/>
          <w:sz w:val="24"/>
          <w:szCs w:val="24"/>
        </w:rPr>
        <w:t>，按要求将《供应商参加投标确认函》扫描件发送至代理机构人员邮</w:t>
      </w:r>
      <w:r>
        <w:rPr>
          <w:rFonts w:hint="eastAsia" w:asciiTheme="majorEastAsia" w:hAnsiTheme="majorEastAsia" w:eastAsiaTheme="majorEastAsia" w:cstheme="majorEastAsia"/>
          <w:color w:val="000000"/>
          <w:sz w:val="24"/>
          <w:szCs w:val="24"/>
        </w:rPr>
        <w:t>箱（</w:t>
      </w:r>
      <w:r>
        <w:rPr>
          <w:rFonts w:hint="eastAsia" w:asciiTheme="majorEastAsia" w:hAnsiTheme="majorEastAsia" w:eastAsiaTheme="majorEastAsia" w:cstheme="majorEastAsia"/>
          <w:color w:val="000000"/>
          <w:sz w:val="24"/>
          <w:szCs w:val="24"/>
          <w:lang w:val="en-US" w:eastAsia="zh-CN"/>
        </w:rPr>
        <w:t>179155624</w:t>
      </w:r>
      <w:r>
        <w:rPr>
          <w:rFonts w:hint="eastAsia" w:asciiTheme="majorEastAsia" w:hAnsiTheme="majorEastAsia" w:eastAsiaTheme="majorEastAsia" w:cstheme="majorEastAsia"/>
          <w:color w:val="000000"/>
          <w:sz w:val="24"/>
          <w:szCs w:val="24"/>
        </w:rPr>
        <w:t>@qq.com，联系人：</w:t>
      </w:r>
      <w:r>
        <w:rPr>
          <w:rFonts w:hint="eastAsia" w:asciiTheme="majorEastAsia" w:hAnsiTheme="majorEastAsia" w:eastAsiaTheme="majorEastAsia" w:cstheme="majorEastAsia"/>
          <w:color w:val="000000"/>
          <w:sz w:val="24"/>
          <w:szCs w:val="24"/>
          <w:lang w:val="en-US" w:eastAsia="zh-CN"/>
        </w:rPr>
        <w:t>陶青</w:t>
      </w:r>
      <w:r>
        <w:rPr>
          <w:rFonts w:hint="eastAsia" w:asciiTheme="majorEastAsia" w:hAnsiTheme="majorEastAsia" w:eastAsiaTheme="majorEastAsia" w:cstheme="majorEastAsia"/>
          <w:color w:val="000000"/>
          <w:sz w:val="24"/>
          <w:szCs w:val="24"/>
        </w:rPr>
        <w:t>，电话：</w:t>
      </w:r>
      <w:r>
        <w:rPr>
          <w:rFonts w:hint="eastAsia" w:asciiTheme="majorEastAsia" w:hAnsiTheme="majorEastAsia" w:eastAsiaTheme="majorEastAsia" w:cstheme="majorEastAsia"/>
          <w:color w:val="000000"/>
          <w:sz w:val="24"/>
          <w:szCs w:val="24"/>
          <w:lang w:val="en-US" w:eastAsia="zh-CN"/>
        </w:rPr>
        <w:t>15949093581</w:t>
      </w:r>
      <w:r>
        <w:rPr>
          <w:rFonts w:hint="eastAsia" w:asciiTheme="majorEastAsia" w:hAnsiTheme="majorEastAsia" w:eastAsiaTheme="majorEastAsia" w:cstheme="majorEastAsia"/>
          <w:color w:val="000000"/>
          <w:sz w:val="24"/>
          <w:szCs w:val="24"/>
        </w:rPr>
        <w:t>）同时需与采购代理机构经办人确认是否收到《供应商参加投标确认函》，或将原件送至：仪征市真州镇真州东路舜莘商业广场511-512室(仪征传承招投标代理有限公司)。如供应商未按上述要求去做，将自行承担所产生的风险。有关本次招标的事项若存在变动或修改，敬请及时关注江苏省招标投标公共服务平台、仪征市中医院官网发布的信息或更正公告。</w:t>
      </w:r>
    </w:p>
    <w:p w14:paraId="3DB12F4B">
      <w:pPr>
        <w:pageBreakBefore w:val="0"/>
        <w:widowControl/>
        <w:shd w:val="clear" w:color="auto" w:fill="FFFFFF"/>
        <w:overflowPunct/>
        <w:topLinePunct w:val="0"/>
        <w:bidi w:val="0"/>
        <w:spacing w:line="360" w:lineRule="auto"/>
        <w:ind w:firstLine="482" w:firstLineChars="200"/>
        <w:jc w:val="left"/>
        <w:rPr>
          <w:rFonts w:hint="eastAsia" w:asciiTheme="majorEastAsia" w:hAnsiTheme="majorEastAsia" w:eastAsiaTheme="majorEastAsia" w:cstheme="majorEastAsia"/>
          <w:color w:val="292929"/>
          <w:kern w:val="0"/>
          <w:sz w:val="24"/>
          <w:szCs w:val="24"/>
        </w:rPr>
      </w:pPr>
      <w:r>
        <w:rPr>
          <w:rFonts w:hint="eastAsia" w:asciiTheme="majorEastAsia" w:hAnsiTheme="majorEastAsia" w:eastAsiaTheme="majorEastAsia" w:cstheme="majorEastAsia"/>
          <w:b/>
          <w:color w:val="292929"/>
          <w:kern w:val="0"/>
          <w:sz w:val="24"/>
          <w:szCs w:val="24"/>
        </w:rPr>
        <w:t>3.本次磋商响应文件制作份数要求</w:t>
      </w:r>
      <w:r>
        <w:rPr>
          <w:rFonts w:hint="eastAsia" w:asciiTheme="majorEastAsia" w:hAnsiTheme="majorEastAsia" w:eastAsiaTheme="majorEastAsia" w:cstheme="majorEastAsia"/>
          <w:color w:val="292929"/>
          <w:kern w:val="0"/>
          <w:sz w:val="24"/>
          <w:szCs w:val="24"/>
        </w:rPr>
        <w:t>：</w:t>
      </w:r>
    </w:p>
    <w:p w14:paraId="7561D07E">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292929"/>
          <w:kern w:val="0"/>
          <w:sz w:val="24"/>
          <w:szCs w:val="24"/>
        </w:rPr>
      </w:pPr>
      <w:bookmarkStart w:id="30" w:name="_Toc28359018"/>
      <w:bookmarkStart w:id="31" w:name="_Toc28359095"/>
      <w:bookmarkStart w:id="32" w:name="_Toc35393805"/>
      <w:bookmarkStart w:id="33" w:name="_Toc35393636"/>
      <w:r>
        <w:rPr>
          <w:rFonts w:hint="eastAsia" w:asciiTheme="majorEastAsia" w:hAnsiTheme="majorEastAsia" w:eastAsiaTheme="majorEastAsia" w:cstheme="majorEastAsia"/>
          <w:color w:val="292929"/>
          <w:kern w:val="0"/>
          <w:sz w:val="24"/>
          <w:szCs w:val="24"/>
        </w:rPr>
        <w:t>1.供应商应当准备响应文件正本 1份 、副本2份。响应文件的正本和副本应在其封面右上角清楚地标明“正本”或“副本”。若正本和副本有不一致的内容，以正本书面响应文件为准。</w:t>
      </w:r>
    </w:p>
    <w:p w14:paraId="2A89EAE4">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292929"/>
          <w:kern w:val="0"/>
          <w:sz w:val="24"/>
          <w:szCs w:val="24"/>
        </w:rPr>
      </w:pPr>
      <w:r>
        <w:rPr>
          <w:rFonts w:hint="eastAsia" w:asciiTheme="majorEastAsia" w:hAnsiTheme="majorEastAsia" w:eastAsiaTheme="majorEastAsia" w:cstheme="majorEastAsia"/>
          <w:color w:val="292929"/>
          <w:kern w:val="0"/>
          <w:sz w:val="24"/>
          <w:szCs w:val="24"/>
        </w:rPr>
        <w:t>2.</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color w:val="292929"/>
          <w:kern w:val="0"/>
          <w:sz w:val="24"/>
          <w:szCs w:val="24"/>
        </w:rPr>
        <w:t>响应文件的正本和副本均需打印或用不褪色、不变质的墨水书写，并由供应商的法定代表人或其授权代表在规定签章处签字或盖章。</w:t>
      </w:r>
    </w:p>
    <w:p w14:paraId="22F39273">
      <w:pPr>
        <w:pageBreakBefore w:val="0"/>
        <w:overflowPunct/>
        <w:topLinePunct w:val="0"/>
        <w:bidi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八、凡对本次采购提出询问，请按以下方式联系。</w:t>
      </w:r>
      <w:bookmarkEnd w:id="30"/>
      <w:bookmarkEnd w:id="31"/>
      <w:bookmarkEnd w:id="32"/>
      <w:bookmarkEnd w:id="33"/>
      <w:bookmarkStart w:id="34" w:name="_Toc35393806"/>
      <w:bookmarkStart w:id="35" w:name="_Toc28359096"/>
      <w:bookmarkStart w:id="36" w:name="_Toc35393637"/>
      <w:bookmarkStart w:id="37" w:name="_Toc28359019"/>
    </w:p>
    <w:p w14:paraId="729B7C27">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1.采购人信息</w:t>
      </w:r>
      <w:bookmarkEnd w:id="34"/>
      <w:bookmarkEnd w:id="35"/>
      <w:bookmarkEnd w:id="36"/>
      <w:bookmarkEnd w:id="37"/>
    </w:p>
    <w:p w14:paraId="7631A6FB">
      <w:pPr>
        <w:pageBreakBefore w:val="0"/>
        <w:overflowPunct/>
        <w:topLinePunct w:val="0"/>
        <w:bidi w:val="0"/>
        <w:spacing w:line="360" w:lineRule="auto"/>
        <w:ind w:firstLine="720" w:firstLineChars="3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bookmarkStart w:id="38" w:name="_Hlk169771757"/>
      <w:r>
        <w:rPr>
          <w:rFonts w:hint="eastAsia" w:asciiTheme="majorEastAsia" w:hAnsiTheme="majorEastAsia" w:eastAsiaTheme="majorEastAsia" w:cstheme="majorEastAsia"/>
          <w:sz w:val="24"/>
          <w:szCs w:val="24"/>
          <w:u w:val="single"/>
        </w:rPr>
        <w:t>仪征市中医院</w:t>
      </w:r>
      <w:bookmarkEnd w:id="38"/>
    </w:p>
    <w:p w14:paraId="2149FECE">
      <w:pPr>
        <w:pageBreakBefore w:val="0"/>
        <w:overflowPunct/>
        <w:topLinePunct w:val="0"/>
        <w:bidi w:val="0"/>
        <w:spacing w:line="360" w:lineRule="auto"/>
        <w:ind w:firstLine="720" w:firstLineChars="3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u w:val="single"/>
        </w:rPr>
        <w:t>仪征市沿山河东路899号</w:t>
      </w:r>
    </w:p>
    <w:p w14:paraId="1F657F5E">
      <w:pPr>
        <w:pageBreakBefore w:val="0"/>
        <w:overflowPunct/>
        <w:topLinePunct w:val="0"/>
        <w:bidi w:val="0"/>
        <w:spacing w:line="360" w:lineRule="auto"/>
        <w:ind w:firstLine="720" w:firstLineChars="300"/>
        <w:jc w:val="lef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联系方式：</w:t>
      </w:r>
      <w:bookmarkStart w:id="39" w:name="_Toc28359020"/>
      <w:bookmarkStart w:id="40" w:name="_Toc35393807"/>
      <w:bookmarkStart w:id="41" w:name="_Toc28359097"/>
      <w:bookmarkStart w:id="42" w:name="_Toc35393638"/>
      <w:r>
        <w:rPr>
          <w:rFonts w:hint="eastAsia" w:asciiTheme="majorEastAsia" w:hAnsiTheme="majorEastAsia" w:eastAsiaTheme="majorEastAsia" w:cstheme="majorEastAsia"/>
          <w:sz w:val="24"/>
          <w:szCs w:val="24"/>
          <w:u w:val="single"/>
        </w:rPr>
        <w:t>051480856318</w:t>
      </w:r>
    </w:p>
    <w:p w14:paraId="014B6767">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bookmarkEnd w:id="39"/>
      <w:bookmarkEnd w:id="40"/>
      <w:bookmarkEnd w:id="41"/>
      <w:bookmarkEnd w:id="42"/>
    </w:p>
    <w:p w14:paraId="049F5380">
      <w:pPr>
        <w:pageBreakBefore w:val="0"/>
        <w:overflowPunct/>
        <w:topLinePunct w:val="0"/>
        <w:bidi w:val="0"/>
        <w:spacing w:line="36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r>
        <w:rPr>
          <w:rFonts w:hint="eastAsia" w:asciiTheme="majorEastAsia" w:hAnsiTheme="majorEastAsia" w:eastAsiaTheme="majorEastAsia" w:cstheme="majorEastAsia"/>
          <w:sz w:val="24"/>
          <w:szCs w:val="24"/>
          <w:u w:val="single"/>
        </w:rPr>
        <w:t>仪征传承招投标代理有限公司　</w:t>
      </w:r>
    </w:p>
    <w:p w14:paraId="2D573D8C">
      <w:pPr>
        <w:pageBreakBefore w:val="0"/>
        <w:overflowPunct/>
        <w:topLinePunct w:val="0"/>
        <w:bidi w:val="0"/>
        <w:spacing w:line="36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u w:val="single"/>
        </w:rPr>
        <w:t>仪征市真州镇真州东路舜莘商业广场511-512室（碧乐汇北门五楼）</w:t>
      </w:r>
    </w:p>
    <w:p w14:paraId="34ED7CC2">
      <w:pPr>
        <w:pageBreakBefore w:val="0"/>
        <w:overflowPunct/>
        <w:topLinePunct w:val="0"/>
        <w:bidi w:val="0"/>
        <w:spacing w:line="360" w:lineRule="auto"/>
        <w:ind w:firstLine="720" w:firstLineChars="300"/>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联系方式：</w:t>
      </w:r>
      <w:bookmarkStart w:id="43" w:name="_Toc28359098"/>
      <w:bookmarkStart w:id="44" w:name="_Toc28359021"/>
      <w:bookmarkStart w:id="45" w:name="_Toc35393808"/>
      <w:bookmarkStart w:id="46" w:name="_Toc35393639"/>
      <w:r>
        <w:rPr>
          <w:rFonts w:hint="eastAsia" w:asciiTheme="majorEastAsia" w:hAnsiTheme="majorEastAsia" w:eastAsiaTheme="majorEastAsia" w:cstheme="majorEastAsia"/>
          <w:sz w:val="24"/>
          <w:szCs w:val="24"/>
          <w:u w:val="single"/>
          <w:lang w:val="en-US" w:eastAsia="zh-CN"/>
        </w:rPr>
        <w:t>15949093581</w:t>
      </w:r>
    </w:p>
    <w:p w14:paraId="725F15EF">
      <w:pPr>
        <w:pStyle w:val="8"/>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3.项目联系方式</w:t>
      </w:r>
      <w:bookmarkEnd w:id="43"/>
      <w:bookmarkEnd w:id="44"/>
      <w:bookmarkEnd w:id="45"/>
      <w:bookmarkEnd w:id="46"/>
    </w:p>
    <w:p w14:paraId="19603F8A">
      <w:pPr>
        <w:pStyle w:val="8"/>
        <w:pageBreakBefore w:val="0"/>
        <w:overflowPunct/>
        <w:topLinePunct w:val="0"/>
        <w:bidi w:val="0"/>
        <w:spacing w:line="360" w:lineRule="auto"/>
        <w:ind w:firstLine="720" w:firstLineChars="3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u w:val="single"/>
          <w:lang w:val="en-US" w:eastAsia="zh-CN"/>
        </w:rPr>
        <w:t>陶青</w:t>
      </w:r>
    </w:p>
    <w:p w14:paraId="6A191650">
      <w:pPr>
        <w:pageBreakBefore w:val="0"/>
        <w:overflowPunct/>
        <w:topLinePunct w:val="0"/>
        <w:bidi w:val="0"/>
        <w:spacing w:line="360" w:lineRule="auto"/>
        <w:ind w:firstLine="720" w:firstLineChars="3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电　　 话：</w:t>
      </w:r>
      <w:r>
        <w:rPr>
          <w:rFonts w:hint="eastAsia" w:asciiTheme="majorEastAsia" w:hAnsiTheme="majorEastAsia" w:eastAsiaTheme="majorEastAsia" w:cstheme="majorEastAsia"/>
          <w:sz w:val="24"/>
          <w:szCs w:val="24"/>
          <w:u w:val="single"/>
          <w:lang w:val="en-US" w:eastAsia="zh-CN"/>
        </w:rPr>
        <w:t>15949093581</w:t>
      </w:r>
    </w:p>
    <w:p w14:paraId="6045DBC7">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zh-CN"/>
        </w:rPr>
        <w:t>九、本项目不收取投标保证金。</w:t>
      </w:r>
    </w:p>
    <w:p w14:paraId="368E43DD">
      <w:pPr>
        <w:pageBreakBefore w:val="0"/>
        <w:overflowPunct/>
        <w:topLinePunct w:val="0"/>
        <w:bidi w:val="0"/>
        <w:spacing w:line="360" w:lineRule="auto"/>
        <w:jc w:val="right"/>
        <w:rPr>
          <w:rFonts w:hint="eastAsia" w:asciiTheme="majorEastAsia" w:hAnsiTheme="majorEastAsia" w:eastAsiaTheme="majorEastAsia" w:cstheme="majorEastAsia"/>
          <w:color w:val="000000"/>
          <w:sz w:val="24"/>
          <w:szCs w:val="24"/>
        </w:rPr>
      </w:pPr>
    </w:p>
    <w:p w14:paraId="5F819A90">
      <w:pPr>
        <w:pageBreakBefore w:val="0"/>
        <w:overflowPunct/>
        <w:topLinePunct w:val="0"/>
        <w:bidi w:val="0"/>
        <w:spacing w:line="360" w:lineRule="auto"/>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仪征传承招投标代理有限公司</w:t>
      </w:r>
    </w:p>
    <w:p w14:paraId="2FF1664C">
      <w:pPr>
        <w:pageBreakBefore w:val="0"/>
        <w:wordWrap w:val="0"/>
        <w:overflowPunct/>
        <w:topLinePunct w:val="0"/>
        <w:bidi w:val="0"/>
        <w:spacing w:line="360" w:lineRule="auto"/>
        <w:jc w:val="right"/>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highlight w:val="yellow"/>
        </w:rPr>
        <w:t>2024年</w:t>
      </w:r>
      <w:r>
        <w:rPr>
          <w:rFonts w:hint="eastAsia" w:asciiTheme="majorEastAsia" w:hAnsiTheme="majorEastAsia" w:eastAsiaTheme="majorEastAsia" w:cstheme="majorEastAsia"/>
          <w:sz w:val="24"/>
          <w:szCs w:val="24"/>
          <w:highlight w:val="yellow"/>
          <w:lang w:val="en-US" w:eastAsia="zh-CN"/>
        </w:rPr>
        <w:t>12</w:t>
      </w:r>
      <w:r>
        <w:rPr>
          <w:rFonts w:hint="eastAsia" w:asciiTheme="majorEastAsia" w:hAnsiTheme="majorEastAsia" w:eastAsiaTheme="majorEastAsia" w:cstheme="majorEastAsia"/>
          <w:sz w:val="24"/>
          <w:szCs w:val="24"/>
          <w:highlight w:val="yellow"/>
        </w:rPr>
        <w:t>月</w:t>
      </w:r>
      <w:r>
        <w:rPr>
          <w:rFonts w:hint="eastAsia" w:asciiTheme="majorEastAsia" w:hAnsiTheme="majorEastAsia" w:eastAsiaTheme="majorEastAsia" w:cstheme="majorEastAsia"/>
          <w:sz w:val="24"/>
          <w:szCs w:val="24"/>
          <w:highlight w:val="yellow"/>
          <w:lang w:val="en-US" w:eastAsia="zh-CN"/>
        </w:rPr>
        <w:t xml:space="preserve">  </w:t>
      </w:r>
      <w:r>
        <w:rPr>
          <w:rFonts w:hint="eastAsia" w:asciiTheme="majorEastAsia" w:hAnsiTheme="majorEastAsia" w:eastAsiaTheme="majorEastAsia" w:cstheme="majorEastAsia"/>
          <w:sz w:val="24"/>
          <w:szCs w:val="24"/>
          <w:highlight w:val="yellow"/>
        </w:rPr>
        <w:t>日</w:t>
      </w:r>
    </w:p>
    <w:p w14:paraId="167C1917">
      <w:pPr>
        <w:pageBreakBefore w:val="0"/>
        <w:overflowPunct/>
        <w:topLinePunct w:val="0"/>
        <w:bidi w:val="0"/>
        <w:spacing w:line="360" w:lineRule="auto"/>
        <w:rPr>
          <w:rFonts w:hint="eastAsia" w:asciiTheme="majorEastAsia" w:hAnsiTheme="majorEastAsia" w:eastAsiaTheme="majorEastAsia" w:cstheme="majorEastAsia"/>
        </w:rPr>
      </w:pPr>
    </w:p>
    <w:bookmarkEnd w:id="1"/>
    <w:p w14:paraId="5918E69D">
      <w:pPr>
        <w:pageBreakBefore w:val="0"/>
        <w:overflowPunct/>
        <w:topLinePunct w:val="0"/>
        <w:bidi w:val="0"/>
        <w:spacing w:line="360" w:lineRule="auto"/>
        <w:rPr>
          <w:rFonts w:hint="eastAsia" w:asciiTheme="majorEastAsia" w:hAnsiTheme="majorEastAsia" w:eastAsiaTheme="majorEastAsia" w:cstheme="majorEastAsia"/>
        </w:rPr>
      </w:pPr>
    </w:p>
    <w:p w14:paraId="149F282F">
      <w:pPr>
        <w:pageBreakBefore w:val="0"/>
        <w:overflowPunct/>
        <w:topLinePunct w:val="0"/>
        <w:bidi w:val="0"/>
        <w:spacing w:line="360" w:lineRule="auto"/>
        <w:rPr>
          <w:rFonts w:hint="eastAsia" w:asciiTheme="majorEastAsia" w:hAnsiTheme="majorEastAsia" w:eastAsiaTheme="majorEastAsia" w:cstheme="majorEastAsia"/>
        </w:rPr>
      </w:pPr>
    </w:p>
    <w:p w14:paraId="77DD60C3">
      <w:pPr>
        <w:pageBreakBefore w:val="0"/>
        <w:overflowPunct/>
        <w:topLinePunct w:val="0"/>
        <w:bidi w:val="0"/>
        <w:spacing w:line="360" w:lineRule="auto"/>
        <w:rPr>
          <w:rFonts w:hint="eastAsia" w:asciiTheme="majorEastAsia" w:hAnsiTheme="majorEastAsia" w:eastAsiaTheme="majorEastAsia" w:cstheme="majorEastAsia"/>
        </w:rPr>
      </w:pPr>
    </w:p>
    <w:p w14:paraId="71E510E5">
      <w:pPr>
        <w:pageBreakBefore w:val="0"/>
        <w:overflowPunct/>
        <w:topLinePunct w:val="0"/>
        <w:bidi w:val="0"/>
        <w:spacing w:line="360" w:lineRule="auto"/>
        <w:rPr>
          <w:rFonts w:hint="eastAsia" w:asciiTheme="majorEastAsia" w:hAnsiTheme="majorEastAsia" w:eastAsiaTheme="majorEastAsia" w:cstheme="majorEastAsia"/>
        </w:rPr>
      </w:pPr>
    </w:p>
    <w:p w14:paraId="282DFF68">
      <w:pPr>
        <w:pageBreakBefore w:val="0"/>
        <w:overflowPunct/>
        <w:topLinePunct w:val="0"/>
        <w:bidi w:val="0"/>
        <w:spacing w:line="360" w:lineRule="auto"/>
        <w:rPr>
          <w:rFonts w:hint="eastAsia" w:asciiTheme="majorEastAsia" w:hAnsiTheme="majorEastAsia" w:eastAsiaTheme="majorEastAsia" w:cstheme="majorEastAsia"/>
        </w:rPr>
      </w:pPr>
    </w:p>
    <w:p w14:paraId="1AF868D8">
      <w:pPr>
        <w:pageBreakBefore w:val="0"/>
        <w:overflowPunct/>
        <w:topLinePunct w:val="0"/>
        <w:bidi w:val="0"/>
        <w:spacing w:line="360" w:lineRule="auto"/>
        <w:rPr>
          <w:rFonts w:hint="eastAsia" w:asciiTheme="majorEastAsia" w:hAnsiTheme="majorEastAsia" w:eastAsiaTheme="majorEastAsia" w:cstheme="majorEastAsia"/>
        </w:rPr>
      </w:pPr>
    </w:p>
    <w:p w14:paraId="37BF1E89">
      <w:pPr>
        <w:pageBreakBefore w:val="0"/>
        <w:overflowPunct/>
        <w:topLinePunct w:val="0"/>
        <w:bidi w:val="0"/>
        <w:spacing w:line="360" w:lineRule="auto"/>
        <w:rPr>
          <w:rFonts w:hint="eastAsia" w:asciiTheme="majorEastAsia" w:hAnsiTheme="majorEastAsia" w:eastAsiaTheme="majorEastAsia" w:cstheme="majorEastAsia"/>
        </w:rPr>
      </w:pPr>
    </w:p>
    <w:p w14:paraId="2EBE6176">
      <w:pPr>
        <w:pageBreakBefore w:val="0"/>
        <w:overflowPunct/>
        <w:topLinePunct w:val="0"/>
        <w:bidi w:val="0"/>
        <w:spacing w:line="360" w:lineRule="auto"/>
        <w:rPr>
          <w:rFonts w:hint="eastAsia" w:asciiTheme="majorEastAsia" w:hAnsiTheme="majorEastAsia" w:eastAsiaTheme="majorEastAsia" w:cstheme="majorEastAsia"/>
        </w:rPr>
      </w:pPr>
    </w:p>
    <w:p w14:paraId="1E75140D">
      <w:pPr>
        <w:pageBreakBefore w:val="0"/>
        <w:overflowPunct/>
        <w:topLinePunct w:val="0"/>
        <w:bidi w:val="0"/>
        <w:spacing w:line="360" w:lineRule="auto"/>
        <w:rPr>
          <w:rFonts w:hint="eastAsia" w:asciiTheme="majorEastAsia" w:hAnsiTheme="majorEastAsia" w:eastAsiaTheme="majorEastAsia" w:cstheme="majorEastAsia"/>
        </w:rPr>
      </w:pPr>
    </w:p>
    <w:p w14:paraId="5CEA85A2">
      <w:pPr>
        <w:pageBreakBefore w:val="0"/>
        <w:overflowPunct/>
        <w:topLinePunct w:val="0"/>
        <w:bidi w:val="0"/>
        <w:spacing w:line="360" w:lineRule="auto"/>
        <w:rPr>
          <w:rFonts w:hint="eastAsia" w:asciiTheme="majorEastAsia" w:hAnsiTheme="majorEastAsia" w:eastAsiaTheme="majorEastAsia" w:cstheme="majorEastAsia"/>
        </w:rPr>
      </w:pPr>
    </w:p>
    <w:p w14:paraId="3A37D2E5">
      <w:pPr>
        <w:pageBreakBefore w:val="0"/>
        <w:overflowPunct/>
        <w:topLinePunct w:val="0"/>
        <w:bidi w:val="0"/>
        <w:spacing w:line="360" w:lineRule="auto"/>
        <w:rPr>
          <w:rFonts w:hint="eastAsia" w:asciiTheme="majorEastAsia" w:hAnsiTheme="majorEastAsia" w:eastAsiaTheme="majorEastAsia" w:cstheme="majorEastAsia"/>
        </w:rPr>
      </w:pPr>
    </w:p>
    <w:p w14:paraId="7AEDEA12">
      <w:pPr>
        <w:pageBreakBefore w:val="0"/>
        <w:overflowPunct/>
        <w:topLinePunct w:val="0"/>
        <w:bidi w:val="0"/>
        <w:spacing w:line="360" w:lineRule="auto"/>
        <w:rPr>
          <w:rFonts w:hint="eastAsia" w:asciiTheme="majorEastAsia" w:hAnsiTheme="majorEastAsia" w:eastAsiaTheme="majorEastAsia" w:cstheme="majorEastAsia"/>
        </w:rPr>
      </w:pPr>
    </w:p>
    <w:p w14:paraId="39F9512F">
      <w:pPr>
        <w:pageBreakBefore w:val="0"/>
        <w:overflowPunct/>
        <w:topLinePunct w:val="0"/>
        <w:bidi w:val="0"/>
        <w:spacing w:line="360" w:lineRule="auto"/>
        <w:rPr>
          <w:rFonts w:hint="eastAsia" w:asciiTheme="majorEastAsia" w:hAnsiTheme="majorEastAsia" w:eastAsiaTheme="majorEastAsia" w:cstheme="majorEastAsia"/>
        </w:rPr>
      </w:pPr>
    </w:p>
    <w:p w14:paraId="22544570">
      <w:pPr>
        <w:pageBreakBefore w:val="0"/>
        <w:overflowPunct/>
        <w:topLinePunct w:val="0"/>
        <w:bidi w:val="0"/>
        <w:spacing w:line="360" w:lineRule="auto"/>
        <w:rPr>
          <w:rFonts w:hint="eastAsia" w:asciiTheme="majorEastAsia" w:hAnsiTheme="majorEastAsia" w:eastAsiaTheme="majorEastAsia" w:cstheme="majorEastAsia"/>
        </w:rPr>
        <w:sectPr>
          <w:footerReference r:id="rId5" w:type="default"/>
          <w:pgSz w:w="11906" w:h="16838"/>
          <w:pgMar w:top="1440" w:right="1230" w:bottom="1440" w:left="1440" w:header="851" w:footer="992" w:gutter="0"/>
          <w:pgNumType w:fmt="decimal" w:start="1"/>
          <w:cols w:space="720" w:num="1"/>
          <w:docGrid w:type="lines" w:linePitch="312" w:charSpace="0"/>
        </w:sectPr>
      </w:pPr>
    </w:p>
    <w:p w14:paraId="2CD7E1E7">
      <w:pPr>
        <w:pStyle w:val="2"/>
        <w:pageBreakBefore w:val="0"/>
        <w:overflowPunct/>
        <w:topLinePunct w:val="0"/>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第二章 磋商须知</w:t>
      </w:r>
      <w:bookmarkEnd w:id="7"/>
    </w:p>
    <w:p w14:paraId="1BBE8CB7">
      <w:pPr>
        <w:pageBreakBefore w:val="0"/>
        <w:overflowPunct/>
        <w:topLinePunct w:val="0"/>
        <w:bidi w:val="0"/>
        <w:spacing w:line="360" w:lineRule="auto"/>
        <w:jc w:val="center"/>
        <w:rPr>
          <w:rFonts w:hint="eastAsia" w:asciiTheme="majorEastAsia" w:hAnsiTheme="majorEastAsia" w:eastAsiaTheme="majorEastAsia" w:cstheme="majorEastAsia"/>
          <w:b/>
          <w:bCs/>
          <w:sz w:val="24"/>
          <w:szCs w:val="24"/>
        </w:rPr>
      </w:pPr>
      <w:bookmarkStart w:id="47" w:name="_Toc16938520"/>
      <w:bookmarkStart w:id="48" w:name="_Toc458694821"/>
      <w:bookmarkStart w:id="49" w:name="_Toc20823276"/>
      <w:bookmarkStart w:id="50" w:name="_Toc513029204"/>
      <w:r>
        <w:rPr>
          <w:rFonts w:hint="eastAsia" w:asciiTheme="majorEastAsia" w:hAnsiTheme="majorEastAsia" w:eastAsiaTheme="majorEastAsia" w:cstheme="majorEastAsia"/>
          <w:bCs/>
          <w:sz w:val="24"/>
          <w:szCs w:val="24"/>
        </w:rPr>
        <w:t>（参加竞争性磋商的供应商以下简称“磋商供应商”）</w:t>
      </w:r>
    </w:p>
    <w:bookmarkEnd w:id="47"/>
    <w:bookmarkEnd w:id="48"/>
    <w:bookmarkEnd w:id="49"/>
    <w:bookmarkEnd w:id="50"/>
    <w:p w14:paraId="67277BF7">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一、总则</w:t>
      </w:r>
    </w:p>
    <w:p w14:paraId="3D3998C0">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1、适用范围</w:t>
      </w:r>
    </w:p>
    <w:p w14:paraId="103F20E6">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本竞争性磋商文件（以下简称磋商文件）仅适用此项目。</w:t>
      </w:r>
    </w:p>
    <w:p w14:paraId="154FF517">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2、项目采购方式</w:t>
      </w:r>
    </w:p>
    <w:p w14:paraId="5FB4494C">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本次采购采取竞争性磋商的方式。</w:t>
      </w:r>
    </w:p>
    <w:p w14:paraId="3AFFE4FA">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3、合格的磋商供应商</w:t>
      </w:r>
    </w:p>
    <w:p w14:paraId="4ACF5CF8">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3.1满足本磋商文件“竞争性磋商采购公告”中合格磋商供应商资格要求的规定。</w:t>
      </w:r>
    </w:p>
    <w:p w14:paraId="66F56986">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 满足本磋商文件实质性要求和条件的规定。</w:t>
      </w:r>
    </w:p>
    <w:p w14:paraId="1B618CE2">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4、参加磋商费用</w:t>
      </w:r>
    </w:p>
    <w:p w14:paraId="55B3C657">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4.1参加磋商供应商应自行承担所有与参加磋商有关的费用。</w:t>
      </w:r>
    </w:p>
    <w:p w14:paraId="64A2A566">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4.2本次招标文件售价300元/份，递交投标文件时缴纳，售后不退。</w:t>
      </w:r>
    </w:p>
    <w:p w14:paraId="2B26A941">
      <w:pPr>
        <w:keepNext w:val="0"/>
        <w:keepLines w:val="0"/>
        <w:pageBreakBefore w:val="0"/>
        <w:tabs>
          <w:tab w:val="left" w:pos="900"/>
        </w:tabs>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4.3本次采购由中标人在领取中标通知书前按照国家计委印发的《招标代理服务收费管理暂行办法》（计价格【2002】1980 号文）货物类（服务类）的标准一次性支付给招标代理机构代理服务费。</w:t>
      </w:r>
    </w:p>
    <w:p w14:paraId="44D1D40B">
      <w:pPr>
        <w:keepNext w:val="0"/>
        <w:keepLines w:val="0"/>
        <w:pageBreakBefore w:val="0"/>
        <w:kinsoku/>
        <w:wordWrap/>
        <w:overflowPunct/>
        <w:topLinePunct w:val="0"/>
        <w:autoSpaceDE/>
        <w:autoSpaceDN/>
        <w:bidi w:val="0"/>
        <w:adjustRightInd/>
        <w:spacing w:line="360" w:lineRule="auto"/>
        <w:ind w:firstLine="420"/>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 xml:space="preserve">（1）代理服务费以人民币支付； </w:t>
      </w:r>
    </w:p>
    <w:p w14:paraId="1DBDF52B">
      <w:pPr>
        <w:keepNext w:val="0"/>
        <w:keepLines w:val="0"/>
        <w:pageBreakBefore w:val="0"/>
        <w:kinsoku/>
        <w:wordWrap/>
        <w:overflowPunct/>
        <w:topLinePunct w:val="0"/>
        <w:autoSpaceDE/>
        <w:autoSpaceDN/>
        <w:bidi w:val="0"/>
        <w:adjustRightInd/>
        <w:spacing w:line="360" w:lineRule="auto"/>
        <w:ind w:firstLine="420"/>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 xml:space="preserve">（2）代理服务费一次性以电汇、转账等非现金形式支付； </w:t>
      </w:r>
    </w:p>
    <w:p w14:paraId="00DAD1AB">
      <w:pPr>
        <w:keepNext w:val="0"/>
        <w:keepLines w:val="0"/>
        <w:pageBreakBefore w:val="0"/>
        <w:kinsoku/>
        <w:wordWrap/>
        <w:overflowPunct/>
        <w:topLinePunct w:val="0"/>
        <w:autoSpaceDE/>
        <w:autoSpaceDN/>
        <w:bidi w:val="0"/>
        <w:adjustRightInd/>
        <w:spacing w:line="360" w:lineRule="auto"/>
        <w:ind w:firstLine="420"/>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（3）招标代理服务费不在投标报价中单列，包含在投标总价中，</w:t>
      </w:r>
      <w:r>
        <w:rPr>
          <w:rFonts w:hint="eastAsia" w:asciiTheme="majorEastAsia" w:hAnsiTheme="majorEastAsia" w:eastAsiaTheme="majorEastAsia" w:cstheme="majorEastAsia"/>
          <w:b/>
          <w:bCs/>
          <w:sz w:val="24"/>
          <w:szCs w:val="24"/>
        </w:rPr>
        <w:t>由中标单位支付给代理机构。</w:t>
      </w:r>
      <w:r>
        <w:rPr>
          <w:rFonts w:hint="eastAsia" w:asciiTheme="majorEastAsia" w:hAnsiTheme="majorEastAsia" w:eastAsiaTheme="majorEastAsia" w:cstheme="majorEastAsia"/>
          <w:b/>
          <w:bCs/>
          <w:color w:val="000000"/>
          <w:sz w:val="24"/>
          <w:szCs w:val="24"/>
        </w:rPr>
        <w:t xml:space="preserve"> </w:t>
      </w:r>
    </w:p>
    <w:p w14:paraId="0501DFA8">
      <w:pPr>
        <w:keepNext w:val="0"/>
        <w:keepLines w:val="0"/>
        <w:pageBreakBefore w:val="0"/>
        <w:tabs>
          <w:tab w:val="left" w:pos="900"/>
        </w:tabs>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4.4本次招标专家评审费由中标人支付，按扬财购【2020】40号文《扬州市财政局关于进一步规范扬州市政府采购专家评审费标准的通知》执行。</w:t>
      </w:r>
    </w:p>
    <w:p w14:paraId="4C3BF672">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5、磋商文件的约束力</w:t>
      </w:r>
    </w:p>
    <w:p w14:paraId="2C88B0A6">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供应商一旦获取了本磋商文件并决定参加磋商，即被认为接受了本磋商文件的规定和约束，并且视为自竞争性磋商公告期限届满之日起已经知道或应当知道自身权益是否受到了损害。</w:t>
      </w:r>
    </w:p>
    <w:p w14:paraId="621223B2">
      <w:pPr>
        <w:keepNext w:val="0"/>
        <w:keepLines w:val="0"/>
        <w:pageBreakBefore w:val="0"/>
        <w:tabs>
          <w:tab w:val="left" w:pos="900"/>
        </w:tabs>
        <w:kinsoku/>
        <w:wordWrap/>
        <w:overflowPunct/>
        <w:topLinePunct w:val="0"/>
        <w:autoSpaceDE/>
        <w:autoSpaceDN/>
        <w:bidi w:val="0"/>
        <w:adjustRightInd/>
        <w:spacing w:line="36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bookmarkStart w:id="51" w:name="_Toc462564070"/>
      <w:bookmarkStart w:id="52" w:name="_Toc20823283"/>
      <w:bookmarkStart w:id="53" w:name="_Toc513029211"/>
      <w:bookmarkStart w:id="54" w:name="_Toc16938527"/>
      <w:r>
        <w:rPr>
          <w:rFonts w:hint="eastAsia" w:asciiTheme="majorEastAsia" w:hAnsiTheme="majorEastAsia" w:eastAsiaTheme="majorEastAsia" w:cstheme="majorEastAsia"/>
          <w:sz w:val="24"/>
          <w:szCs w:val="24"/>
        </w:rPr>
        <w:t>磋商文件的</w:t>
      </w:r>
      <w:bookmarkEnd w:id="51"/>
      <w:bookmarkEnd w:id="52"/>
      <w:bookmarkEnd w:id="53"/>
      <w:bookmarkEnd w:id="54"/>
      <w:r>
        <w:rPr>
          <w:rFonts w:hint="eastAsia" w:asciiTheme="majorEastAsia" w:hAnsiTheme="majorEastAsia" w:eastAsiaTheme="majorEastAsia" w:cstheme="majorEastAsia"/>
          <w:sz w:val="24"/>
          <w:szCs w:val="24"/>
        </w:rPr>
        <w:t>询问及修改</w:t>
      </w:r>
    </w:p>
    <w:p w14:paraId="7ADCAF96">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任何要求对磋商文件进行询问的供应商，均应在提交首次响应文件截止时间5日前按采购公告中的通讯地址，向采购人或招标代理提出。提交首次响应文件截止之日前，代理公司可以对已发出的磋商文件进行必要的澄清或者修改，澄清或者修改的内容作为磋商文件的组成部分。澄清或者修改的内容可能影响响应文件编制的，代理公司将在提交首次响应文件截止时间至少5日前，在江苏省招标投标公共服务平台、仪征市中医院官网上发布更正公告通知所有获取磋商文件的供应商。不足5日的，代理公司应当顺延提交首次响应文件截止时间。</w:t>
      </w:r>
    </w:p>
    <w:p w14:paraId="6AD28CC0">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6.2</w:t>
      </w:r>
      <w:r>
        <w:rPr>
          <w:rFonts w:hint="eastAsia" w:asciiTheme="majorEastAsia" w:hAnsiTheme="majorEastAsia" w:eastAsiaTheme="majorEastAsia" w:cstheme="majorEastAsia"/>
          <w:color w:val="000000"/>
          <w:sz w:val="24"/>
          <w:szCs w:val="24"/>
        </w:rPr>
        <w:t>代理公司或采购人可以视采购项目的具体情况，组织供应商进行现场考察或召开磋商前答疑会，但不单独或分别组织只有一个供应商参加的现场考察和答疑会。</w:t>
      </w:r>
    </w:p>
    <w:p w14:paraId="0FFDB8E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7、磋商文件的解释</w:t>
      </w:r>
    </w:p>
    <w:p w14:paraId="304A86D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7.1 本磋商文件由</w:t>
      </w:r>
      <w:r>
        <w:rPr>
          <w:rFonts w:hint="eastAsia" w:asciiTheme="majorEastAsia" w:hAnsiTheme="majorEastAsia" w:eastAsiaTheme="majorEastAsia" w:cstheme="majorEastAsia"/>
          <w:bCs/>
          <w:sz w:val="24"/>
          <w:szCs w:val="24"/>
        </w:rPr>
        <w:t>采购人</w:t>
      </w:r>
      <w:r>
        <w:rPr>
          <w:rFonts w:hint="eastAsia" w:asciiTheme="majorEastAsia" w:hAnsiTheme="majorEastAsia" w:eastAsiaTheme="majorEastAsia" w:cstheme="majorEastAsia"/>
          <w:bCs/>
          <w:color w:val="000000"/>
          <w:sz w:val="24"/>
          <w:szCs w:val="24"/>
        </w:rPr>
        <w:t>负责解释。</w:t>
      </w:r>
      <w:bookmarkStart w:id="55" w:name="_Hlt26954830"/>
      <w:bookmarkEnd w:id="55"/>
      <w:bookmarkStart w:id="56" w:name="_Hlt26954828"/>
      <w:bookmarkEnd w:id="56"/>
      <w:bookmarkStart w:id="57" w:name="_Hlt26668969"/>
      <w:bookmarkEnd w:id="57"/>
      <w:bookmarkStart w:id="58" w:name="_Hlt26670345"/>
      <w:bookmarkEnd w:id="58"/>
      <w:bookmarkStart w:id="59" w:name="_Hlt26670354"/>
      <w:bookmarkEnd w:id="59"/>
      <w:bookmarkStart w:id="60" w:name="_Hlt26954832"/>
      <w:bookmarkEnd w:id="60"/>
      <w:bookmarkStart w:id="61" w:name="_Hlt26670348"/>
      <w:bookmarkEnd w:id="61"/>
      <w:bookmarkStart w:id="62" w:name="_Toc513029213"/>
      <w:bookmarkStart w:id="63" w:name="_Toc462564072"/>
      <w:bookmarkStart w:id="64" w:name="_Toc61149553"/>
      <w:bookmarkStart w:id="65" w:name="_Toc14577351"/>
    </w:p>
    <w:p w14:paraId="662467D9">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二、磋商响应文件的编制</w:t>
      </w:r>
      <w:bookmarkEnd w:id="62"/>
      <w:bookmarkEnd w:id="63"/>
      <w:bookmarkEnd w:id="64"/>
      <w:bookmarkEnd w:id="65"/>
    </w:p>
    <w:p w14:paraId="7D683FC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66" w:name="_Toc61149561"/>
      <w:bookmarkStart w:id="67" w:name="_Toc14577361"/>
      <w:bookmarkStart w:id="68" w:name="_Toc513029223"/>
      <w:r>
        <w:rPr>
          <w:rFonts w:hint="eastAsia" w:asciiTheme="majorEastAsia" w:hAnsiTheme="majorEastAsia" w:eastAsiaTheme="majorEastAsia" w:cstheme="majorEastAsia"/>
          <w:sz w:val="24"/>
          <w:szCs w:val="24"/>
        </w:rPr>
        <w:t>1、磋商响应文件份数和签署</w:t>
      </w:r>
      <w:bookmarkEnd w:id="66"/>
      <w:bookmarkEnd w:id="67"/>
      <w:bookmarkEnd w:id="68"/>
    </w:p>
    <w:p w14:paraId="3AEB80E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1.1磋商供应商应严格按照采购公告要求准备磋商响应文件（以下简称响应文件），每份响应文件须清楚地标明“正本”或“</w:t>
      </w:r>
      <w:r>
        <w:rPr>
          <w:rFonts w:hint="eastAsia" w:asciiTheme="majorEastAsia" w:hAnsiTheme="majorEastAsia" w:eastAsiaTheme="majorEastAsia" w:cstheme="majorEastAsia"/>
          <w:color w:val="000000"/>
          <w:sz w:val="24"/>
          <w:szCs w:val="24"/>
        </w:rPr>
        <w:t>副本”字样。</w:t>
      </w:r>
    </w:p>
    <w:p w14:paraId="006F12D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响应文件的正本和所有的副本均需打印或复印。响应文件正本中，磋商文件要求提供原件的必须按照要求提供，文字材料需打印或用不</w:t>
      </w:r>
      <w:r>
        <w:rPr>
          <w:rFonts w:hint="eastAsia" w:asciiTheme="majorEastAsia" w:hAnsiTheme="majorEastAsia" w:eastAsiaTheme="majorEastAsia" w:cstheme="majorEastAsia"/>
          <w:sz w:val="24"/>
          <w:szCs w:val="24"/>
        </w:rPr>
        <w:t>褪色墨水书写，响应文件正本须经法定代表人或授权代表签字和加盖磋商供应商公章。本磋商文件所表述（指定）的公章是指刻有供应商法定名称的印章，不包括合同、财务、税务、发票等形式的业务专用章。</w:t>
      </w:r>
    </w:p>
    <w:p w14:paraId="1F3861DA">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除磋商供应商对错处做必要修改外，响应文件不得行间插字、涂改或增删。如有修改错漏处，必须由响应文件签署人签字或盖章。</w:t>
      </w:r>
    </w:p>
    <w:p w14:paraId="29F558D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69" w:name="_Hlt26954834"/>
      <w:bookmarkEnd w:id="69"/>
      <w:bookmarkStart w:id="70" w:name="_Toc513029215"/>
      <w:bookmarkStart w:id="71" w:name="_Toc462564074"/>
      <w:bookmarkStart w:id="72" w:name="_Toc61149555"/>
      <w:bookmarkStart w:id="73" w:name="_Toc14577353"/>
      <w:bookmarkStart w:id="74" w:name="_Toc14577352"/>
      <w:bookmarkStart w:id="75" w:name="_Toc61149554"/>
      <w:bookmarkStart w:id="76" w:name="_Toc462564073"/>
      <w:bookmarkStart w:id="77" w:name="_Toc513029214"/>
      <w:r>
        <w:rPr>
          <w:rFonts w:hint="eastAsia" w:asciiTheme="majorEastAsia" w:hAnsiTheme="majorEastAsia" w:eastAsiaTheme="majorEastAsia" w:cstheme="majorEastAsia"/>
          <w:sz w:val="24"/>
          <w:szCs w:val="24"/>
        </w:rPr>
        <w:t>2、响应文件</w:t>
      </w:r>
      <w:bookmarkEnd w:id="70"/>
      <w:bookmarkEnd w:id="71"/>
      <w:bookmarkEnd w:id="72"/>
      <w:bookmarkEnd w:id="73"/>
      <w:r>
        <w:rPr>
          <w:rFonts w:hint="eastAsia" w:asciiTheme="majorEastAsia" w:hAnsiTheme="majorEastAsia" w:eastAsiaTheme="majorEastAsia" w:cstheme="majorEastAsia"/>
          <w:sz w:val="24"/>
          <w:szCs w:val="24"/>
        </w:rPr>
        <w:t>编制要求</w:t>
      </w:r>
    </w:p>
    <w:bookmarkEnd w:id="74"/>
    <w:bookmarkEnd w:id="75"/>
    <w:bookmarkEnd w:id="76"/>
    <w:bookmarkEnd w:id="77"/>
    <w:p w14:paraId="3B13BD9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2.1磋商供应商提交的响应文件以及磋商供应商与代理公司及采购人就有关磋商的所有来往函电均应使用简体中文。磋商文件中既有中文也有外文的，以中文意义为准。</w:t>
      </w:r>
    </w:p>
    <w:p w14:paraId="1767D88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除技术性能另有规定外，响应文件所使用的度量衡单位，均须采用国家法定计量单位。</w:t>
      </w:r>
    </w:p>
    <w:p w14:paraId="37CE4BCA">
      <w:pPr>
        <w:keepNext w:val="0"/>
        <w:keepLines w:val="0"/>
        <w:pageBreakBefore w:val="0"/>
        <w:tabs>
          <w:tab w:val="left" w:pos="900"/>
        </w:tabs>
        <w:kinsoku/>
        <w:wordWrap/>
        <w:overflowPunct/>
        <w:topLinePunct w:val="0"/>
        <w:autoSpaceDE/>
        <w:autoSpaceDN/>
        <w:bidi w:val="0"/>
        <w:adjustRightInd/>
        <w:spacing w:line="360" w:lineRule="auto"/>
        <w:ind w:firstLine="600" w:firstLineChars="250"/>
        <w:textAlignment w:val="auto"/>
        <w:rPr>
          <w:rFonts w:hint="eastAsia" w:asciiTheme="majorEastAsia" w:hAnsiTheme="majorEastAsia" w:eastAsiaTheme="majorEastAsia" w:cstheme="majorEastAsia"/>
          <w:sz w:val="24"/>
          <w:szCs w:val="24"/>
        </w:rPr>
      </w:pPr>
      <w:bookmarkStart w:id="78" w:name="_Hlt26670357"/>
      <w:bookmarkEnd w:id="78"/>
      <w:bookmarkStart w:id="79" w:name="_Hlt26954836"/>
      <w:bookmarkEnd w:id="79"/>
      <w:bookmarkStart w:id="80" w:name="_Toc61149558"/>
      <w:bookmarkStart w:id="81" w:name="_Toc14577357"/>
      <w:bookmarkStart w:id="82" w:name="_Toc513029219"/>
      <w:bookmarkStart w:id="83" w:name="_Toc14577355"/>
      <w:bookmarkStart w:id="84" w:name="_Toc513029217"/>
      <w:bookmarkStart w:id="85" w:name="_Toc61149557"/>
      <w:r>
        <w:rPr>
          <w:rFonts w:hint="eastAsia" w:asciiTheme="majorEastAsia" w:hAnsiTheme="majorEastAsia" w:eastAsiaTheme="majorEastAsia" w:cstheme="majorEastAsia"/>
          <w:sz w:val="24"/>
          <w:szCs w:val="24"/>
        </w:rPr>
        <w:t>3、参加磋商供应商资格的文件</w:t>
      </w:r>
      <w:bookmarkEnd w:id="80"/>
      <w:bookmarkEnd w:id="81"/>
      <w:bookmarkEnd w:id="82"/>
      <w:r>
        <w:rPr>
          <w:rFonts w:hint="eastAsia" w:asciiTheme="majorEastAsia" w:hAnsiTheme="majorEastAsia" w:eastAsiaTheme="majorEastAsia" w:cstheme="majorEastAsia"/>
          <w:sz w:val="24"/>
          <w:szCs w:val="24"/>
        </w:rPr>
        <w:t>证明</w:t>
      </w:r>
    </w:p>
    <w:p w14:paraId="64B7BE3C">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bookmarkStart w:id="86" w:name="_Hlt26668999"/>
      <w:bookmarkEnd w:id="86"/>
      <w:r>
        <w:rPr>
          <w:rFonts w:hint="eastAsia" w:asciiTheme="majorEastAsia" w:hAnsiTheme="majorEastAsia" w:eastAsiaTheme="majorEastAsia" w:cstheme="majorEastAsia"/>
          <w:sz w:val="24"/>
          <w:szCs w:val="24"/>
        </w:rPr>
        <w:t>3.1磋商供应商应提交证明其有资格参加磋商和成交后有能力独立履行合同的文件，并作为其响应文件的一部分。</w:t>
      </w:r>
    </w:p>
    <w:p w14:paraId="347ABF6D">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3.2磋商供应商除必须具有履行合同所需提供的设备以及服务的能力外，还必须具备相应的财务、技术方面的能力。</w:t>
      </w:r>
    </w:p>
    <w:p w14:paraId="0B94557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3.3磋商供应商应填写并提交磋商文件所附的“资格证明文件”。</w:t>
      </w:r>
    </w:p>
    <w:p w14:paraId="1559B3AD">
      <w:pPr>
        <w:keepNext w:val="0"/>
        <w:keepLines w:val="0"/>
        <w:pageBreakBefore w:val="0"/>
        <w:tabs>
          <w:tab w:val="left" w:pos="900"/>
        </w:tabs>
        <w:kinsoku/>
        <w:wordWrap/>
        <w:overflowPunct/>
        <w:topLinePunct w:val="0"/>
        <w:autoSpaceDE/>
        <w:autoSpaceDN/>
        <w:bidi w:val="0"/>
        <w:adjustRightInd/>
        <w:spacing w:line="360" w:lineRule="auto"/>
        <w:ind w:firstLine="600" w:firstLineChars="2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4、磋商响应报价</w:t>
      </w:r>
      <w:bookmarkEnd w:id="83"/>
      <w:bookmarkEnd w:id="84"/>
      <w:bookmarkStart w:id="87" w:name="_Hlt26670373"/>
      <w:bookmarkEnd w:id="87"/>
      <w:r>
        <w:rPr>
          <w:rFonts w:hint="eastAsia" w:asciiTheme="majorEastAsia" w:hAnsiTheme="majorEastAsia" w:eastAsiaTheme="majorEastAsia" w:cstheme="majorEastAsia"/>
          <w:sz w:val="24"/>
          <w:szCs w:val="24"/>
        </w:rPr>
        <w:t>表</w:t>
      </w:r>
      <w:bookmarkEnd w:id="85"/>
    </w:p>
    <w:p w14:paraId="1D7FBD84">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w:t>
      </w:r>
      <w:r>
        <w:rPr>
          <w:rFonts w:hint="eastAsia" w:asciiTheme="majorEastAsia" w:hAnsiTheme="majorEastAsia" w:eastAsiaTheme="majorEastAsia" w:cstheme="majorEastAsia"/>
          <w:color w:val="000000"/>
          <w:sz w:val="24"/>
          <w:szCs w:val="24"/>
        </w:rPr>
        <w:t>磋商供应商应按照磋商文件规定格式填报磋商响应报价表（含分项报价）。每项产品或服务只允许有一个报价，任何有选择的报价将不予接受，磋商文件中</w:t>
      </w:r>
      <w:r>
        <w:rPr>
          <w:rFonts w:hint="eastAsia" w:asciiTheme="majorEastAsia" w:hAnsiTheme="majorEastAsia" w:eastAsiaTheme="majorEastAsia" w:cstheme="majorEastAsia"/>
          <w:sz w:val="24"/>
          <w:szCs w:val="24"/>
        </w:rPr>
        <w:t>另有规定的按规定执行。</w:t>
      </w:r>
    </w:p>
    <w:p w14:paraId="4DDAA7CE">
      <w:pPr>
        <w:keepNext w:val="0"/>
        <w:keepLines w:val="0"/>
        <w:pageBreakBefore w:val="0"/>
        <w:tabs>
          <w:tab w:val="left" w:pos="900"/>
        </w:tabs>
        <w:kinsoku/>
        <w:wordWrap/>
        <w:overflowPunct/>
        <w:topLinePunct w:val="0"/>
        <w:autoSpaceDE/>
        <w:autoSpaceDN/>
        <w:bidi w:val="0"/>
        <w:adjustRightInd/>
        <w:spacing w:line="360" w:lineRule="auto"/>
        <w:ind w:left="120" w:leftChars="57"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4.2标的物</w:t>
      </w:r>
    </w:p>
    <w:p w14:paraId="00168A5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详见项目需求。</w:t>
      </w:r>
    </w:p>
    <w:p w14:paraId="54DB86B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4.3有关费用处理</w:t>
      </w:r>
    </w:p>
    <w:p w14:paraId="6717105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本次采购磋商供应商的总报价应包括为完成本项目发生的所有费用，本磋商文件中另有规定的除外。</w:t>
      </w:r>
    </w:p>
    <w:p w14:paraId="053535F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4.4其它费用处理</w:t>
      </w:r>
    </w:p>
    <w:p w14:paraId="5F893F0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磋商文件未列明，而磋商供应商认为必须的费用也须列入报价。</w:t>
      </w:r>
    </w:p>
    <w:p w14:paraId="5B74A01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4.5报价采用的货币</w:t>
      </w:r>
    </w:p>
    <w:p w14:paraId="6FC700D4">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响应文件中的单价和总价，无特殊规定的采用人民币报价，以元为单位标注。磋商文件中另有规定的按规定执行。</w:t>
      </w:r>
    </w:p>
    <w:p w14:paraId="1B69487A">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4.6 磋商响应报价表上的价格应按磋商文件规定填写。</w:t>
      </w:r>
    </w:p>
    <w:p w14:paraId="6E07ADE4">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88" w:name="_Hlt26670425"/>
      <w:bookmarkEnd w:id="88"/>
      <w:bookmarkStart w:id="89" w:name="_Hlt26954731"/>
      <w:bookmarkEnd w:id="89"/>
      <w:bookmarkStart w:id="90" w:name="_Hlt26670403"/>
      <w:bookmarkEnd w:id="90"/>
      <w:bookmarkStart w:id="91" w:name="_Hlt26670482"/>
      <w:bookmarkEnd w:id="91"/>
      <w:bookmarkStart w:id="92" w:name="_Hlt26954848"/>
      <w:bookmarkEnd w:id="92"/>
      <w:bookmarkStart w:id="93" w:name="_Hlt26954846"/>
      <w:bookmarkEnd w:id="93"/>
      <w:bookmarkStart w:id="94" w:name="_Hlt26954844"/>
      <w:bookmarkEnd w:id="94"/>
      <w:bookmarkStart w:id="95" w:name="_Hlt26670486"/>
      <w:bookmarkEnd w:id="95"/>
      <w:bookmarkStart w:id="96" w:name="_Hlt26668983"/>
      <w:bookmarkEnd w:id="96"/>
      <w:bookmarkStart w:id="97" w:name="_Hlt26954842"/>
      <w:bookmarkEnd w:id="97"/>
      <w:bookmarkStart w:id="98" w:name="_Toc61149559"/>
      <w:bookmarkStart w:id="99" w:name="_Toc513029221"/>
      <w:bookmarkStart w:id="100" w:name="_Toc14577359"/>
      <w:r>
        <w:rPr>
          <w:rFonts w:hint="eastAsia" w:asciiTheme="majorEastAsia" w:hAnsiTheme="majorEastAsia" w:eastAsiaTheme="majorEastAsia" w:cstheme="majorEastAsia"/>
          <w:sz w:val="24"/>
          <w:szCs w:val="24"/>
        </w:rPr>
        <w:t>5、项目需求响应方案</w:t>
      </w:r>
    </w:p>
    <w:p w14:paraId="12E1FC7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5.1提供为完成本项目的总体实施规划。</w:t>
      </w:r>
    </w:p>
    <w:p w14:paraId="3489E663">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5.2对磋商文件中项目需求的技术与商务条款要求逐项作出应答，并提供依据或说明。</w:t>
      </w:r>
    </w:p>
    <w:p w14:paraId="550661F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5.3磋商供应商认为需要的其他技术文件或说明。</w:t>
      </w:r>
      <w:bookmarkEnd w:id="98"/>
      <w:bookmarkEnd w:id="99"/>
      <w:bookmarkEnd w:id="100"/>
    </w:p>
    <w:p w14:paraId="1BB2D261">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sz w:val="24"/>
          <w:szCs w:val="24"/>
        </w:rPr>
      </w:pPr>
      <w:bookmarkStart w:id="101" w:name="_Hlt26670493"/>
      <w:bookmarkEnd w:id="101"/>
      <w:bookmarkStart w:id="102" w:name="_Hlt26954850"/>
      <w:bookmarkEnd w:id="102"/>
      <w:bookmarkStart w:id="103" w:name="_Hlt26954852"/>
      <w:bookmarkEnd w:id="103"/>
      <w:bookmarkStart w:id="104" w:name="_Hlt26670489"/>
      <w:bookmarkEnd w:id="104"/>
      <w:bookmarkStart w:id="105" w:name="_Hlt26954739"/>
      <w:bookmarkEnd w:id="105"/>
      <w:bookmarkStart w:id="106" w:name="_Hlt26954734"/>
      <w:bookmarkEnd w:id="106"/>
      <w:bookmarkStart w:id="107" w:name="_Hlt26954854"/>
      <w:bookmarkEnd w:id="107"/>
      <w:bookmarkStart w:id="108" w:name="_Hlt26954749"/>
      <w:bookmarkEnd w:id="108"/>
      <w:bookmarkStart w:id="109" w:name="_Toc61149562"/>
      <w:bookmarkStart w:id="110" w:name="_Toc14577362"/>
      <w:bookmarkStart w:id="111" w:name="_Toc513029224"/>
      <w:r>
        <w:rPr>
          <w:rFonts w:hint="eastAsia" w:asciiTheme="majorEastAsia" w:hAnsiTheme="majorEastAsia" w:eastAsiaTheme="majorEastAsia" w:cstheme="majorEastAsia"/>
          <w:b/>
          <w:sz w:val="24"/>
          <w:szCs w:val="24"/>
        </w:rPr>
        <w:t>三、响应文件的递交</w:t>
      </w:r>
      <w:bookmarkEnd w:id="109"/>
      <w:bookmarkEnd w:id="110"/>
      <w:bookmarkEnd w:id="111"/>
    </w:p>
    <w:p w14:paraId="1DCB584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12" w:name="_Hlt26954856"/>
      <w:bookmarkEnd w:id="112"/>
      <w:bookmarkStart w:id="113" w:name="_Toc462564084"/>
      <w:bookmarkStart w:id="114" w:name="_Toc14577363"/>
      <w:bookmarkStart w:id="115" w:name="_Toc61149563"/>
      <w:bookmarkStart w:id="116" w:name="_Toc513029225"/>
      <w:r>
        <w:rPr>
          <w:rFonts w:hint="eastAsia" w:asciiTheme="majorEastAsia" w:hAnsiTheme="majorEastAsia" w:eastAsiaTheme="majorEastAsia" w:cstheme="majorEastAsia"/>
          <w:sz w:val="24"/>
          <w:szCs w:val="24"/>
        </w:rPr>
        <w:t>1、响应文件</w:t>
      </w:r>
      <w:bookmarkStart w:id="117" w:name="_Hlt26954743"/>
      <w:bookmarkEnd w:id="117"/>
      <w:r>
        <w:rPr>
          <w:rFonts w:hint="eastAsia" w:asciiTheme="majorEastAsia" w:hAnsiTheme="majorEastAsia" w:eastAsiaTheme="majorEastAsia" w:cstheme="majorEastAsia"/>
          <w:sz w:val="24"/>
          <w:szCs w:val="24"/>
        </w:rPr>
        <w:t>的密封和标记</w:t>
      </w:r>
      <w:bookmarkEnd w:id="113"/>
      <w:bookmarkEnd w:id="114"/>
      <w:bookmarkEnd w:id="115"/>
      <w:bookmarkEnd w:id="116"/>
    </w:p>
    <w:p w14:paraId="5E896D8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1.1磋商供应商应严格按照采购公告要求的份数准备响应文件，每份响应文件须清楚地标明“正本”或“副本”字样。一旦正本和副本不符，以正本为准。磋商供应商应将响应文件正本和所有副本密封。</w:t>
      </w:r>
    </w:p>
    <w:p w14:paraId="4901331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1.2密封的响应文件应：</w:t>
      </w:r>
    </w:p>
    <w:p w14:paraId="60EE724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（1）按采购公告中注明的地址送达规定地点；</w:t>
      </w:r>
    </w:p>
    <w:p w14:paraId="188AB76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（2）注明参加磋商项目名称、磋商文件编号及参加的分包号；</w:t>
      </w:r>
    </w:p>
    <w:p w14:paraId="0B23054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（3）密封包装上应写明磋商供应商名称和地址。</w:t>
      </w:r>
    </w:p>
    <w:p w14:paraId="4C6CF42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1.3如果密封包装未按要求密封和加写标记，代理公司对误投或过早启封概不负责。对由此造成提前开封的响应文件，代理公司将予以拒绝，作无效响应处理。</w:t>
      </w:r>
    </w:p>
    <w:p w14:paraId="3812285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18" w:name="_Hlt26670496"/>
      <w:bookmarkEnd w:id="118"/>
      <w:bookmarkStart w:id="119" w:name="_Hlt26954858"/>
      <w:bookmarkEnd w:id="119"/>
      <w:bookmarkStart w:id="120" w:name="_Hlt26954752"/>
      <w:bookmarkEnd w:id="120"/>
      <w:bookmarkStart w:id="121" w:name="_Toc14577364"/>
      <w:bookmarkStart w:id="122" w:name="_Toc513029226"/>
      <w:bookmarkStart w:id="123" w:name="_Toc61149564"/>
      <w:r>
        <w:rPr>
          <w:rFonts w:hint="eastAsia" w:asciiTheme="majorEastAsia" w:hAnsiTheme="majorEastAsia" w:eastAsiaTheme="majorEastAsia" w:cstheme="majorEastAsia"/>
          <w:sz w:val="24"/>
          <w:szCs w:val="24"/>
        </w:rPr>
        <w:t>2、</w:t>
      </w:r>
      <w:bookmarkEnd w:id="121"/>
      <w:bookmarkEnd w:id="122"/>
      <w:bookmarkEnd w:id="123"/>
      <w:r>
        <w:rPr>
          <w:rFonts w:hint="eastAsia" w:asciiTheme="majorEastAsia" w:hAnsiTheme="majorEastAsia" w:eastAsiaTheme="majorEastAsia" w:cstheme="majorEastAsia"/>
          <w:sz w:val="24"/>
          <w:szCs w:val="24"/>
        </w:rPr>
        <w:t>响应文件开启时间</w:t>
      </w:r>
    </w:p>
    <w:p w14:paraId="51135B3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2.1代理公司收到响应文件的时间不得迟于本磋商文件规定的响应文件接收截止时间。</w:t>
      </w:r>
    </w:p>
    <w:p w14:paraId="10DD6617">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2.2</w:t>
      </w:r>
      <w:r>
        <w:rPr>
          <w:rFonts w:hint="eastAsia" w:asciiTheme="majorEastAsia" w:hAnsiTheme="majorEastAsia" w:eastAsiaTheme="majorEastAsia" w:cstheme="majorEastAsia"/>
          <w:sz w:val="24"/>
          <w:szCs w:val="24"/>
        </w:rPr>
        <w:t>代理公司</w:t>
      </w:r>
      <w:r>
        <w:rPr>
          <w:rFonts w:hint="eastAsia" w:asciiTheme="majorEastAsia" w:hAnsiTheme="majorEastAsia" w:eastAsiaTheme="majorEastAsia" w:cstheme="majorEastAsia"/>
          <w:color w:val="000000"/>
          <w:sz w:val="24"/>
          <w:szCs w:val="24"/>
        </w:rPr>
        <w:t>有权通过修改磋商文件推迟响应文件接收截止时间，</w:t>
      </w:r>
      <w:r>
        <w:rPr>
          <w:rFonts w:hint="eastAsia" w:asciiTheme="majorEastAsia" w:hAnsiTheme="majorEastAsia" w:eastAsiaTheme="majorEastAsia" w:cstheme="majorEastAsia"/>
          <w:sz w:val="24"/>
          <w:szCs w:val="24"/>
        </w:rPr>
        <w:t>在此情况下，磋商供应商的所有权利和义务以及受制的响应文件接收截止时间均应以延长后新的响应文件接收截止时间为准。</w:t>
      </w:r>
    </w:p>
    <w:p w14:paraId="33D0438B">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24" w:name="_Hlt26954860"/>
      <w:bookmarkEnd w:id="124"/>
      <w:bookmarkStart w:id="125" w:name="_Toc61149565"/>
      <w:bookmarkStart w:id="126" w:name="_Toc513029227"/>
      <w:bookmarkStart w:id="127" w:name="_Toc14577365"/>
      <w:r>
        <w:rPr>
          <w:rFonts w:hint="eastAsia" w:asciiTheme="majorEastAsia" w:hAnsiTheme="majorEastAsia" w:eastAsiaTheme="majorEastAsia" w:cstheme="majorEastAsia"/>
          <w:sz w:val="24"/>
          <w:szCs w:val="24"/>
        </w:rPr>
        <w:t>3、迟交的响应文件</w:t>
      </w:r>
      <w:bookmarkEnd w:id="125"/>
      <w:bookmarkEnd w:id="126"/>
      <w:bookmarkEnd w:id="127"/>
    </w:p>
    <w:p w14:paraId="24FCCAA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3.1代理公司将拒绝在规定的响应文件接收截止时间后接收任何响应文件。</w:t>
      </w:r>
    </w:p>
    <w:p w14:paraId="59C11C5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28" w:name="_Hlt26954754"/>
      <w:bookmarkEnd w:id="128"/>
      <w:bookmarkStart w:id="129" w:name="_Hlt26954862"/>
      <w:bookmarkEnd w:id="129"/>
      <w:bookmarkStart w:id="130" w:name="_Toc14577366"/>
      <w:bookmarkStart w:id="131" w:name="_Toc61149566"/>
      <w:bookmarkStart w:id="132" w:name="_Toc513029228"/>
      <w:r>
        <w:rPr>
          <w:rFonts w:hint="eastAsia" w:asciiTheme="majorEastAsia" w:hAnsiTheme="majorEastAsia" w:eastAsiaTheme="majorEastAsia" w:cstheme="majorEastAsia"/>
          <w:sz w:val="24"/>
          <w:szCs w:val="24"/>
        </w:rPr>
        <w:t>4、响应文件</w:t>
      </w:r>
      <w:bookmarkStart w:id="133" w:name="_Hlt26670588"/>
      <w:r>
        <w:rPr>
          <w:rFonts w:hint="eastAsia" w:asciiTheme="majorEastAsia" w:hAnsiTheme="majorEastAsia" w:eastAsiaTheme="majorEastAsia" w:cstheme="majorEastAsia"/>
          <w:sz w:val="24"/>
          <w:szCs w:val="24"/>
        </w:rPr>
        <w:t>的修改</w:t>
      </w:r>
      <w:bookmarkEnd w:id="133"/>
      <w:r>
        <w:rPr>
          <w:rFonts w:hint="eastAsia" w:asciiTheme="majorEastAsia" w:hAnsiTheme="majorEastAsia" w:eastAsiaTheme="majorEastAsia" w:cstheme="majorEastAsia"/>
          <w:sz w:val="24"/>
          <w:szCs w:val="24"/>
        </w:rPr>
        <w:t>和撤回</w:t>
      </w:r>
      <w:bookmarkEnd w:id="130"/>
      <w:bookmarkEnd w:id="131"/>
      <w:bookmarkEnd w:id="132"/>
    </w:p>
    <w:p w14:paraId="33953904">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4.1磋商供应商在递交响应文件后，可以修改或撤回其谈判响应文件，但这种修改和撤回，必须在规定的响应文件接收截止时间前，以书面形式送达指定地点。</w:t>
      </w:r>
    </w:p>
    <w:p w14:paraId="2EFFF3B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4.2磋商供应商的修改或撤回通知书，应按本文件规定进行编制、密封、标记和发送，并应在封套上加注“修改”和“撤回”字样。</w:t>
      </w:r>
    </w:p>
    <w:p w14:paraId="08E5085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 磋商供应商在提交最后报价之前，可以根据磋商情况退出磋商。</w:t>
      </w:r>
    </w:p>
    <w:p w14:paraId="758C31BA">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5、磋商响应有效期</w:t>
      </w:r>
    </w:p>
    <w:p w14:paraId="1D8A68B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 磋商响应有效期为代理公司规定的响应文件接收截止时间后六十（60）天。磋商响应有效期比规定短的将被视为非实质性响应性而予以拒绝。</w:t>
      </w:r>
    </w:p>
    <w:p w14:paraId="4931724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 在特殊情况下，代理公司于原磋商响应有效期满之前，可向磋商供应商提出延长磋商响应有效期的要求。这种要求与答复均应采用书面形式。磋商供应商可以拒绝代理公司的这一要求而放弃磋商响应。同意延长磋商响应有效期的磋商供应商既不能要求也不允许修改其响应文件。</w:t>
      </w:r>
      <w:bookmarkStart w:id="134" w:name="_Hlt26670523"/>
      <w:bookmarkEnd w:id="134"/>
      <w:bookmarkStart w:id="135" w:name="_Hlt26954864"/>
      <w:bookmarkEnd w:id="135"/>
    </w:p>
    <w:p w14:paraId="5DEF1AFD">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四、磋商与评审</w:t>
      </w:r>
    </w:p>
    <w:p w14:paraId="16A09B0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36" w:name="_Toc16938546"/>
      <w:bookmarkStart w:id="137" w:name="_Toc513029230"/>
      <w:bookmarkStart w:id="138" w:name="_Toc20823302"/>
      <w:r>
        <w:rPr>
          <w:rFonts w:hint="eastAsia" w:asciiTheme="majorEastAsia" w:hAnsiTheme="majorEastAsia" w:eastAsiaTheme="majorEastAsia" w:cstheme="majorEastAsia"/>
          <w:sz w:val="24"/>
          <w:szCs w:val="24"/>
        </w:rPr>
        <w:t>1、</w:t>
      </w:r>
      <w:bookmarkEnd w:id="136"/>
      <w:bookmarkEnd w:id="137"/>
      <w:bookmarkEnd w:id="138"/>
      <w:r>
        <w:rPr>
          <w:rFonts w:hint="eastAsia" w:asciiTheme="majorEastAsia" w:hAnsiTheme="majorEastAsia" w:eastAsiaTheme="majorEastAsia" w:cstheme="majorEastAsia"/>
          <w:sz w:val="24"/>
          <w:szCs w:val="24"/>
        </w:rPr>
        <w:t>磋商仪式</w:t>
      </w:r>
    </w:p>
    <w:p w14:paraId="5316184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1.1代理公司将在规定的时间和地点组织磋商开始仪式，仪式由代理公司主持，磋商供应商应委派携带有效证件的代表准时参加，参加仪式的代表需签名以证明其出席。</w:t>
      </w:r>
    </w:p>
    <w:p w14:paraId="1575ACC2">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39" w:name="_Toc513029231"/>
      <w:bookmarkStart w:id="140" w:name="_Toc16938547"/>
      <w:bookmarkStart w:id="141" w:name="_Toc20823303"/>
      <w:r>
        <w:rPr>
          <w:rFonts w:hint="eastAsia" w:asciiTheme="majorEastAsia" w:hAnsiTheme="majorEastAsia" w:eastAsiaTheme="majorEastAsia" w:cstheme="majorEastAsia"/>
          <w:sz w:val="24"/>
          <w:szCs w:val="24"/>
        </w:rPr>
        <w:t>2、磋商小组</w:t>
      </w:r>
    </w:p>
    <w:p w14:paraId="2419867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 磋商开始仪式结束后，代理公司将立即组织磋商小组进行评审。</w:t>
      </w:r>
    </w:p>
    <w:p w14:paraId="25BDA5F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2.2磋商小组由采购评审专家、采购人代表组成，且人员构成符合采购有关规定。</w:t>
      </w:r>
    </w:p>
    <w:p w14:paraId="35F7086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3、磋商评审过程的保密</w:t>
      </w:r>
      <w:bookmarkEnd w:id="139"/>
      <w:bookmarkEnd w:id="140"/>
      <w:bookmarkEnd w:id="141"/>
      <w:r>
        <w:rPr>
          <w:rFonts w:hint="eastAsia" w:asciiTheme="majorEastAsia" w:hAnsiTheme="majorEastAsia" w:eastAsiaTheme="majorEastAsia" w:cstheme="majorEastAsia"/>
          <w:sz w:val="24"/>
          <w:szCs w:val="24"/>
        </w:rPr>
        <w:t>与公正</w:t>
      </w:r>
    </w:p>
    <w:p w14:paraId="365BD69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3.1磋商小组、采购人和代理公司工作人员、相关监督人员等与评审工作有关的人员，对评审情况以及在评审过程中获悉的国家秘密、商业秘密负有保密责任。</w:t>
      </w:r>
    </w:p>
    <w:p w14:paraId="34CC14B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3.2在磋商评审过程中，磋商供应商不得以任何行为影响磋商评审过程，否则其响应文件将被作为无效响应文件。</w:t>
      </w:r>
    </w:p>
    <w:p w14:paraId="308DCF50">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BB50B32">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42" w:name="_Toc20823304"/>
      <w:bookmarkStart w:id="143" w:name="_Toc513029232"/>
      <w:bookmarkStart w:id="144" w:name="_Toc16938548"/>
      <w:r>
        <w:rPr>
          <w:rFonts w:hint="eastAsia" w:asciiTheme="majorEastAsia" w:hAnsiTheme="majorEastAsia" w:eastAsiaTheme="majorEastAsia" w:cstheme="majorEastAsia"/>
          <w:sz w:val="24"/>
          <w:szCs w:val="24"/>
        </w:rPr>
        <w:t>4、评审过程的澄清</w:t>
      </w:r>
      <w:bookmarkEnd w:id="142"/>
      <w:bookmarkEnd w:id="143"/>
      <w:bookmarkEnd w:id="144"/>
      <w:r>
        <w:rPr>
          <w:rFonts w:hint="eastAsia" w:asciiTheme="majorEastAsia" w:hAnsiTheme="majorEastAsia" w:eastAsiaTheme="majorEastAsia" w:cstheme="majorEastAsia"/>
          <w:sz w:val="24"/>
          <w:szCs w:val="24"/>
        </w:rPr>
        <w:t>、说明和更正</w:t>
      </w:r>
    </w:p>
    <w:p w14:paraId="12E5DF4A">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0B375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2C767FFB">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 接到磋商小组澄清要求的供应商如未按规定做出澄清，其风险由供应商自行承担。</w:t>
      </w:r>
    </w:p>
    <w:p w14:paraId="05D408C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45" w:name="_Toc20823305"/>
      <w:bookmarkStart w:id="146" w:name="_Toc513029233"/>
      <w:bookmarkStart w:id="147" w:name="_Toc16938549"/>
      <w:r>
        <w:rPr>
          <w:rFonts w:hint="eastAsia" w:asciiTheme="majorEastAsia" w:hAnsiTheme="majorEastAsia" w:eastAsiaTheme="majorEastAsia" w:cstheme="majorEastAsia"/>
          <w:sz w:val="24"/>
          <w:szCs w:val="24"/>
        </w:rPr>
        <w:t>5、对响应文件的初审</w:t>
      </w:r>
      <w:bookmarkEnd w:id="145"/>
      <w:bookmarkEnd w:id="146"/>
      <w:bookmarkEnd w:id="147"/>
    </w:p>
    <w:p w14:paraId="45B38C1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5.1响应文件初审分为资格性检查和符合性检查。</w:t>
      </w:r>
    </w:p>
    <w:p w14:paraId="57D75C6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资格性检查：依据法律法规和磋商文件的规定，对响应文件中的资格证明文件等进行审查，以确定供应商是否具备参加磋商的资格。</w:t>
      </w:r>
    </w:p>
    <w:p w14:paraId="16284FC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符合性检查：依据磋商文件的规定，从响应文件的有效性、完整性和对磋商文件的响应程度进行审查，以确定是否对磋商文件的实质性要求作出响应。</w:t>
      </w:r>
    </w:p>
    <w:p w14:paraId="79F2E7E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5.2在正式磋商之前，磋商小组将首先审查每份响应文件是否实质性响应了磋商文件的要求。实质性响应的响应文件应该是与磋商文件要求的条款、条件和规格相符，没有重大偏离或保留。</w:t>
      </w:r>
    </w:p>
    <w:p w14:paraId="5119E33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54449FD4">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 被认定为未实质性响应磋商文件的响应文件的情形</w:t>
      </w:r>
    </w:p>
    <w:p w14:paraId="613D277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（1）未按照磋商文件规定要求密封、签署、盖章的；</w:t>
      </w:r>
    </w:p>
    <w:p w14:paraId="2E24749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（2）供应商在报价时采用选择性报价；</w:t>
      </w:r>
    </w:p>
    <w:p w14:paraId="3598DCE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（3）供应商不具备磋商文件中规定资格要求的；</w:t>
      </w:r>
    </w:p>
    <w:p w14:paraId="32A257A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（4）不符合法律、法规和磋商文件中规定的其他实质性要求和条件的（本磋商文件中斜体且有下划线部分为实质性要求和条件）；</w:t>
      </w:r>
    </w:p>
    <w:p w14:paraId="3021A01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（5）其他法律、法规及本磋商文件规定的属未实质性响应的响应文件的情形。</w:t>
      </w:r>
    </w:p>
    <w:p w14:paraId="7CF5400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 未实质性响应磋商文件的响应文件按无效响应处理，磋商小组将予以拒绝，供应商不得通过修改或撤销不合要求的偏离或保留而使其响应文件成为实质性响应的文件。</w:t>
      </w:r>
    </w:p>
    <w:p w14:paraId="24FDF17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3A769B0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48" w:name="_Toc16938550"/>
      <w:bookmarkStart w:id="149" w:name="_Toc513029234"/>
      <w:bookmarkStart w:id="150" w:name="_Toc20823306"/>
      <w:r>
        <w:rPr>
          <w:rFonts w:hint="eastAsia" w:asciiTheme="majorEastAsia" w:hAnsiTheme="majorEastAsia" w:eastAsiaTheme="majorEastAsia" w:cstheme="majorEastAsia"/>
          <w:sz w:val="24"/>
          <w:szCs w:val="24"/>
        </w:rPr>
        <w:t>6、</w:t>
      </w:r>
      <w:bookmarkEnd w:id="148"/>
      <w:bookmarkEnd w:id="149"/>
      <w:bookmarkEnd w:id="150"/>
      <w:r>
        <w:rPr>
          <w:rFonts w:hint="eastAsia" w:asciiTheme="majorEastAsia" w:hAnsiTheme="majorEastAsia" w:eastAsiaTheme="majorEastAsia" w:cstheme="majorEastAsia"/>
          <w:sz w:val="24"/>
          <w:szCs w:val="24"/>
        </w:rPr>
        <w:t>磋商程序及评审方法和标准</w:t>
      </w:r>
    </w:p>
    <w:p w14:paraId="6248A03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51" w:name="_Toc16938551"/>
      <w:bookmarkStart w:id="152" w:name="_Toc513029235"/>
      <w:bookmarkStart w:id="153" w:name="_Toc20823307"/>
      <w:r>
        <w:rPr>
          <w:rFonts w:hint="eastAsia" w:asciiTheme="majorEastAsia" w:hAnsiTheme="majorEastAsia" w:eastAsiaTheme="majorEastAsia" w:cstheme="majorEastAsia"/>
          <w:sz w:val="24"/>
          <w:szCs w:val="24"/>
        </w:rPr>
        <w:t>6.1磋商程序</w:t>
      </w:r>
    </w:p>
    <w:p w14:paraId="63D0C55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6.1.1 对于通过资格性和符合性审查的供应商，磋商小组所有成员将集中与单一供应商分别进行磋商。</w:t>
      </w:r>
    </w:p>
    <w:p w14:paraId="32B05B02">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46F20C3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6.1.2 磋商文件能够详细列明采购标的的技术、服务要求的，磋商结束后，磋商小组将要求所有实质性响应的供应商在规定时间内提交最后报价。</w:t>
      </w:r>
    </w:p>
    <w:p w14:paraId="45B53FF2">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121DF7A8">
      <w:pPr>
        <w:keepNext w:val="0"/>
        <w:keepLines w:val="0"/>
        <w:pageBreakBefore w:val="0"/>
        <w:tabs>
          <w:tab w:val="left" w:pos="900"/>
        </w:tabs>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最后报价是供应商响应文件的有效组成部分。</w:t>
      </w:r>
    </w:p>
    <w:p w14:paraId="6E049C3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0FEBE22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 评审方法和标准</w:t>
      </w:r>
    </w:p>
    <w:p w14:paraId="77C117A4">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6.2.1评审方法。经磋商确定最终采购需求和提交最后报价的供应商后，由磋商小组采用综合评分法对提交最后报价的供应商的响应文件和最后报价进行综合评分。</w:t>
      </w:r>
    </w:p>
    <w:p w14:paraId="3773E10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B6970A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6.2.2评审标准</w:t>
      </w:r>
    </w:p>
    <w:p w14:paraId="759EA08F">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见本磋商文件第五章规定。</w:t>
      </w:r>
    </w:p>
    <w:p w14:paraId="5181CCC9">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6.3采购活动终止的情况</w:t>
      </w:r>
    </w:p>
    <w:p w14:paraId="516DB75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出现下列情形之一的，本次竞争性磋商采购活动将被终止：</w:t>
      </w:r>
    </w:p>
    <w:p w14:paraId="62F9397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（1）因情况变化，不再符合规定的竞争性磋商采购方式适用情形的；</w:t>
      </w:r>
    </w:p>
    <w:p w14:paraId="1297B42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（2）出现影响采购公正的违法、违规行为的；</w:t>
      </w:r>
    </w:p>
    <w:p w14:paraId="07DBB7C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（3）除本磋商文件第6.1.2条第三款规定的情形外，在采购过程中符合要求的供应商或者报价未超过采购预算的供应商不足3家的。</w:t>
      </w:r>
    </w:p>
    <w:bookmarkEnd w:id="151"/>
    <w:bookmarkEnd w:id="152"/>
    <w:bookmarkEnd w:id="153"/>
    <w:p w14:paraId="3E31E3F8">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五、成交</w:t>
      </w:r>
    </w:p>
    <w:p w14:paraId="0A49CCF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bookmarkStart w:id="154" w:name="_Toc513029238"/>
      <w:bookmarkStart w:id="155" w:name="_Toc20823310"/>
      <w:bookmarkStart w:id="156" w:name="_Toc16938554"/>
      <w:r>
        <w:rPr>
          <w:rFonts w:hint="eastAsia" w:asciiTheme="majorEastAsia" w:hAnsiTheme="majorEastAsia" w:eastAsiaTheme="majorEastAsia" w:cstheme="majorEastAsia"/>
          <w:sz w:val="24"/>
          <w:szCs w:val="24"/>
        </w:rPr>
        <w:t>1、</w:t>
      </w:r>
      <w:bookmarkEnd w:id="154"/>
      <w:r>
        <w:rPr>
          <w:rFonts w:hint="eastAsia" w:asciiTheme="majorEastAsia" w:hAnsiTheme="majorEastAsia" w:eastAsiaTheme="majorEastAsia" w:cstheme="majorEastAsia"/>
          <w:sz w:val="24"/>
          <w:szCs w:val="24"/>
        </w:rPr>
        <w:t>确定</w:t>
      </w:r>
      <w:bookmarkEnd w:id="155"/>
      <w:bookmarkEnd w:id="156"/>
      <w:r>
        <w:rPr>
          <w:rFonts w:hint="eastAsia" w:asciiTheme="majorEastAsia" w:hAnsiTheme="majorEastAsia" w:eastAsiaTheme="majorEastAsia" w:cstheme="majorEastAsia"/>
          <w:sz w:val="24"/>
          <w:szCs w:val="24"/>
        </w:rPr>
        <w:t>成交单位</w:t>
      </w:r>
    </w:p>
    <w:p w14:paraId="1FC05E7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14:paraId="38F24548">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1.2采购人根据磋商小组推荐的成交候选人确定成交供应商。采购人确定成交供应商后，代理公司将在江苏省招标投标公共服务平台、仪征市中医院官网发布成交结果公告，公告期限为1个工作日。</w:t>
      </w:r>
    </w:p>
    <w:p w14:paraId="72FCBD75">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1.3若有充分证据证明，成交供应商出现下列情况之一的，一经查实，将被取消成交资格：</w:t>
      </w:r>
    </w:p>
    <w:p w14:paraId="7CD514B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（1）提供虚假材料谋取成交的；</w:t>
      </w:r>
    </w:p>
    <w:p w14:paraId="3CD36D1E">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（2）与评审专家、采购人、其他供应商或者代理机构工作人员恶意串通的；</w:t>
      </w:r>
    </w:p>
    <w:p w14:paraId="5F6120CA">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（3）向评审专家、采购人或代理机构工作人员行贿或者提供其他不正当利益的；</w:t>
      </w:r>
    </w:p>
    <w:p w14:paraId="6337167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（4）恶意竞争，最终总报价明显低于其自身合理成本且又无法提供证明的；</w:t>
      </w:r>
    </w:p>
    <w:p w14:paraId="21093563">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（5）不满足本磋商文件规定的实质性要求，但在评审过程中又未被磋商小组发现的；</w:t>
      </w:r>
    </w:p>
    <w:p w14:paraId="6535145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（6）成交后无正当理由拒不与采购人签订采购合同或者未按照磋商文件确定的事项签订采购合同；</w:t>
      </w:r>
    </w:p>
    <w:p w14:paraId="5FECBE53">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（7）将采购合同转包；</w:t>
      </w:r>
    </w:p>
    <w:p w14:paraId="777F4A2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（8）法律、法规、规章规定的属于成交无效的其他情形。</w:t>
      </w:r>
    </w:p>
    <w:p w14:paraId="55F37766">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2、质疑处理</w:t>
      </w:r>
    </w:p>
    <w:p w14:paraId="7EC12D8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2.1磋商供应商认为磋商文件、磋商过程和成交结果使自己的权益受到损害的，可以在知道或应知其权益受到损害之日起七个工作日内，以书面形式向采购人或代理公司提出质疑。</w:t>
      </w:r>
    </w:p>
    <w:p w14:paraId="2DB75250">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2.1.1对磋商文件提出质疑的，应当在获取磋商文件之日或者磋商文件公告期限届满之日起7个工作日内提出；</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2.1.2对磋商过程提出质疑的，为各采购程序环节结束之日起7个工作日内提出；</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2.1.3对成交结果提出质疑的，为成交结果公告期限届满之日起7个工作日内提出。</w:t>
      </w:r>
    </w:p>
    <w:p w14:paraId="3B74866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2.2供应商应在法定质疑期内一次性提出针对同一采购程序环节的质疑。质疑必须按规定提交。</w:t>
      </w:r>
    </w:p>
    <w:p w14:paraId="47B204C0">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2.3提出质疑的供应商（以下简称质疑供应商）应当是参与所质疑项目采购活动的供应商。</w:t>
      </w:r>
    </w:p>
    <w:p w14:paraId="7A152C7C">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2.4质疑函应当包括下列内容：</w:t>
      </w:r>
    </w:p>
    <w:p w14:paraId="30778C3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（一）供应商的姓名或者名称、地址、邮编、联系人及联系电话；</w:t>
      </w:r>
    </w:p>
    <w:p w14:paraId="17DC384C">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（二）质疑项目的名称、编号；</w:t>
      </w:r>
    </w:p>
    <w:p w14:paraId="2DBF3B7D">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（三）具体、明确的质疑事项和与质疑事项相关的请求；</w:t>
      </w:r>
    </w:p>
    <w:p w14:paraId="04574CF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（四）事实依据；</w:t>
      </w:r>
    </w:p>
    <w:p w14:paraId="02914B51">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（五）必要的法律依据；</w:t>
      </w:r>
    </w:p>
    <w:p w14:paraId="349F37E6">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（六）提出质疑的日期。</w:t>
      </w:r>
    </w:p>
    <w:p w14:paraId="1F54AE8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供应商为自然人的，应当由本人签字；供应商为法人或者其他组织的，应当由法定代表人、主要负责人，或者其授权代表签字或者盖章，并加盖公章。</w:t>
      </w:r>
    </w:p>
    <w:p w14:paraId="21E1BF3C">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2.5代理公司收到质疑申请后，将对质疑的形式和内容进行审查，如质疑内容、格式不符合规定，代理公司将告知质疑人进行补正。</w:t>
      </w:r>
    </w:p>
    <w:p w14:paraId="031AB367">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2.6质疑人应当在法定质疑期限内进行补正并重新提交质疑函。</w:t>
      </w:r>
    </w:p>
    <w:p w14:paraId="5FAC3AFD">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2.7代理公司应当在收到供应商的书面质疑后七个工作日内作出答复，并以书面形式通知质疑供应商和其他有关供应商，但答复的内容不得涉及商业秘密。</w:t>
      </w:r>
    </w:p>
    <w:p w14:paraId="1C420898">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 诚实信用</w:t>
      </w:r>
    </w:p>
    <w:p w14:paraId="2EBE6249">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2.8.1 供应商之间不得相互串通投标报价，不得妨碍其他供应商的公平竞争，不得损害采购人和其他供应商的合法权益。</w:t>
      </w:r>
    </w:p>
    <w:p w14:paraId="1BFD2CB0">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2.8.2 供应商不得以向代理公司工作人员、评标委员会成员行贿或者采取其他不正当手段谋取中标。经查实供应商有此行为的，采购管理部门将供应商列入不良行为记录名单，按照有关规定处理。</w:t>
      </w:r>
    </w:p>
    <w:p w14:paraId="5C6CF51C">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2.8.3 供应商提出书面质疑必须有理、有据，不得虚假质疑和恶意质疑，并对质疑内容的真实性承担责任。一经查实，代理公司有权依据采购的有关规定，报请采购监管部门对该供应商进行相应的行政处罚并在网站上予以公示。如果供应商或者其他利害关系人通过捏造事实、伪造证明材料等方式提出质疑，干扰采购活动正常进行的，属于严重不良行为，代理公司将提请采购监管部门将其列入不良行为记录名单，并依法予以处罚。</w:t>
      </w:r>
    </w:p>
    <w:p w14:paraId="4F903AFA">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2.8.4 供应商不得虚假承诺，否则，按照提供虚假材料谋取中标成交处理。</w:t>
      </w:r>
    </w:p>
    <w:p w14:paraId="22041560">
      <w:pPr>
        <w:keepNext w:val="0"/>
        <w:keepLines w:val="0"/>
        <w:pageBreakBefore w:val="0"/>
        <w:kinsoku/>
        <w:wordWrap/>
        <w:overflowPunct/>
        <w:topLinePunct w:val="0"/>
        <w:autoSpaceDE/>
        <w:autoSpaceDN/>
        <w:bidi w:val="0"/>
        <w:adjustRightInd/>
        <w:spacing w:line="360" w:lineRule="auto"/>
        <w:ind w:firstLine="468" w:firstLineChars="19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2.8．5 供应商应自觉遵守开标、评标纪律，扰乱开标评标现场秩序的，属于失信行为，根据有关规定，失信行为将被记入供应商诚信档案。</w:t>
      </w:r>
    </w:p>
    <w:p w14:paraId="3616F735">
      <w:pPr>
        <w:keepNext w:val="0"/>
        <w:keepLines w:val="0"/>
        <w:pageBreakBefore w:val="0"/>
        <w:tabs>
          <w:tab w:val="left" w:pos="900"/>
        </w:tabs>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六、合同签订相关事项</w:t>
      </w:r>
    </w:p>
    <w:p w14:paraId="4BC4B443">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1、签订合同</w:t>
      </w:r>
    </w:p>
    <w:p w14:paraId="70987527">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l成交供应商确定后，代理公司将向成交供应商发出成交通知书。成交供应商应按成交通知书规定的时间、地点,按照磋商文件确定的事项与采购人签订采购合同，且不得迟于成交通知书发出之日起三十日内，由此给采购人造成损失的，成交供应商还应承担赔偿责任。</w:t>
      </w:r>
    </w:p>
    <w:p w14:paraId="739646F1">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磋商文件、成交供应商的响应文件及磋商采购过程中有关澄清、承诺文件均应作为合同附件。</w:t>
      </w:r>
    </w:p>
    <w:p w14:paraId="17B6583C">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签订合同后，</w:t>
      </w:r>
      <w:r>
        <w:rPr>
          <w:rFonts w:hint="eastAsia" w:asciiTheme="majorEastAsia" w:hAnsiTheme="majorEastAsia" w:eastAsiaTheme="majorEastAsia" w:cstheme="majorEastAsia"/>
          <w:i/>
          <w:sz w:val="24"/>
          <w:szCs w:val="24"/>
          <w:u w:val="single"/>
        </w:rPr>
        <w:t>成交供应商不得将成交产品或服务进行转包。</w:t>
      </w:r>
      <w:r>
        <w:rPr>
          <w:rFonts w:hint="eastAsia" w:asciiTheme="majorEastAsia" w:hAnsiTheme="majorEastAsia" w:eastAsiaTheme="majorEastAsia" w:cstheme="majorEastAsia"/>
          <w:sz w:val="24"/>
          <w:szCs w:val="24"/>
        </w:rPr>
        <w:t>未经采购人同意，成交供应商也不得采用分包的形式履行合同，否则采购人有权终止合同。转包或分包造成采购人损失的，成交供应商应承担相应赔偿责任。</w:t>
      </w:r>
    </w:p>
    <w:p w14:paraId="4308F92D">
      <w:pPr>
        <w:keepNext w:val="0"/>
        <w:keepLines w:val="0"/>
        <w:pageBreakBefore w:val="0"/>
        <w:tabs>
          <w:tab w:val="left" w:pos="900"/>
        </w:tabs>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2、履约保证金</w:t>
      </w:r>
    </w:p>
    <w:p w14:paraId="30F9F1E9">
      <w:pPr>
        <w:keepNext w:val="0"/>
        <w:keepLines w:val="0"/>
        <w:pageBreakBefore w:val="0"/>
        <w:tabs>
          <w:tab w:val="left" w:pos="900"/>
        </w:tabs>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本项目无需缴纳履约保证金</w:t>
      </w:r>
    </w:p>
    <w:p w14:paraId="3B5B7D3C">
      <w:pPr>
        <w:keepNext w:val="0"/>
        <w:keepLines w:val="0"/>
        <w:pageBreakBefore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sectPr>
          <w:pgSz w:w="11906" w:h="16838"/>
          <w:pgMar w:top="1440" w:right="1230" w:bottom="1440" w:left="1440" w:header="851" w:footer="992" w:gutter="0"/>
          <w:pgNumType w:fmt="decimal"/>
          <w:cols w:space="720" w:num="1"/>
          <w:docGrid w:type="lines" w:linePitch="312" w:charSpace="0"/>
        </w:sectPr>
      </w:pPr>
    </w:p>
    <w:p w14:paraId="445A54A1">
      <w:pPr>
        <w:pStyle w:val="2"/>
        <w:pageBreakBefore w:val="0"/>
        <w:overflowPunct/>
        <w:topLinePunct w:val="0"/>
        <w:bidi w:val="0"/>
        <w:spacing w:line="360" w:lineRule="auto"/>
        <w:rPr>
          <w:rFonts w:hint="eastAsia" w:asciiTheme="majorEastAsia" w:hAnsiTheme="majorEastAsia" w:eastAsiaTheme="majorEastAsia" w:cstheme="majorEastAsia"/>
        </w:rPr>
      </w:pPr>
      <w:bookmarkStart w:id="157" w:name="_Toc515613285"/>
      <w:r>
        <w:rPr>
          <w:rFonts w:hint="eastAsia" w:asciiTheme="majorEastAsia" w:hAnsiTheme="majorEastAsia" w:eastAsiaTheme="majorEastAsia" w:cstheme="majorEastAsia"/>
        </w:rPr>
        <w:t>第三章 合同条款及格式</w:t>
      </w:r>
      <w:bookmarkEnd w:id="157"/>
    </w:p>
    <w:p w14:paraId="7167C82E">
      <w:pPr>
        <w:pStyle w:val="8"/>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以下为成交后签定本项目合同的通用条款，成交供应商不得提出实质性的修改，关于专用条款将由采购人与成交供应商结合本项目具体情况协商后签订。</w:t>
      </w:r>
    </w:p>
    <w:p w14:paraId="435AD67E">
      <w:pPr>
        <w:pStyle w:val="8"/>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85D54D4">
      <w:pPr>
        <w:pageBreakBefore w:val="0"/>
        <w:overflowPunct/>
        <w:topLinePunct w:val="0"/>
        <w:bidi w:val="0"/>
        <w:spacing w:line="360" w:lineRule="auto"/>
        <w:jc w:val="center"/>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rPr>
        <w:t>采购合同（服务）</w:t>
      </w:r>
    </w:p>
    <w:p w14:paraId="335DB883">
      <w:pPr>
        <w:pageBreakBefore w:val="0"/>
        <w:overflowPunct/>
        <w:topLinePunct w:val="0"/>
        <w:bidi w:val="0"/>
        <w:spacing w:line="360" w:lineRule="auto"/>
        <w:rPr>
          <w:rFonts w:hint="eastAsia" w:asciiTheme="majorEastAsia" w:hAnsiTheme="majorEastAsia" w:eastAsiaTheme="majorEastAsia" w:cstheme="majorEastAsia"/>
        </w:rPr>
      </w:pPr>
    </w:p>
    <w:p w14:paraId="13B699DD">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                                项目编号：</w:t>
      </w:r>
    </w:p>
    <w:p w14:paraId="2BB72EF6">
      <w:pPr>
        <w:pageBreakBefore w:val="0"/>
        <w:overflowPunct/>
        <w:topLinePunct w:val="0"/>
        <w:bidi w:val="0"/>
        <w:snapToGrid w:val="0"/>
        <w:spacing w:line="36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甲方（采购人/买方）：                     乙方（供应商/卖方）：</w:t>
      </w:r>
    </w:p>
    <w:p w14:paraId="0EC03281">
      <w:pPr>
        <w:pStyle w:val="19"/>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见证方：仪征传承招投标代理有限公司</w:t>
      </w:r>
    </w:p>
    <w:p w14:paraId="75BED967">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根据《中华人民共和国民法典》等法律法规的规定，甲乙双方按照本项目招标结果签订本合同。</w:t>
      </w:r>
    </w:p>
    <w:p w14:paraId="29896DE6">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1、合同标的</w:t>
      </w:r>
    </w:p>
    <w:p w14:paraId="79DD06A4">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乙方根据甲方需求，提供下列服务：。</w:t>
      </w:r>
    </w:p>
    <w:p w14:paraId="3567AC71">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服务内容等要求详见招投标文件。</w:t>
      </w:r>
    </w:p>
    <w:p w14:paraId="43896F3B">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2、合同总金额</w:t>
      </w:r>
    </w:p>
    <w:p w14:paraId="709B5233">
      <w:pPr>
        <w:pageBreakBefore w:val="0"/>
        <w:overflowPunct/>
        <w:topLinePunct w:val="0"/>
        <w:bidi w:val="0"/>
        <w:snapToGrid w:val="0"/>
        <w:spacing w:line="360" w:lineRule="auto"/>
        <w:ind w:left="315" w:leftChars="150"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 本合同金额为（大写）：_______________________________元人民币（¥_____元）。</w:t>
      </w:r>
    </w:p>
    <w:p w14:paraId="566F8F66">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本合同总金额包括乙方提供的服务及其他有关的为完成本项目发生的所有费用，招标文件中另有规定的除外。</w:t>
      </w:r>
    </w:p>
    <w:p w14:paraId="243A864D">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 在招标文件未列明，而乙方认为履行本合同必需的费用也包含在合同总金额中。</w:t>
      </w:r>
    </w:p>
    <w:p w14:paraId="117AB1D6">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 本合同总金额还包含乙方提供的伴随服务/售后服务费用。</w:t>
      </w:r>
    </w:p>
    <w:p w14:paraId="421116C7">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14:paraId="4BCFBFF1">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3、组成本合同的有关文件</w:t>
      </w:r>
    </w:p>
    <w:p w14:paraId="37A1CA23">
      <w:pPr>
        <w:pageBreakBefore w:val="0"/>
        <w:overflowPunct/>
        <w:topLinePunct w:val="0"/>
        <w:bidi w:val="0"/>
        <w:snapToGrid w:val="0"/>
        <w:spacing w:line="360" w:lineRule="auto"/>
        <w:ind w:left="315" w:leftChars="150"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3.1乙方应按招标文件规定的时间向甲方提供服务的有关技术资料。</w:t>
      </w:r>
    </w:p>
    <w:p w14:paraId="42180900">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 没有甲方事先书面同意，乙方不得将由甲方提供的有关合同或任何合同条文或资料提供给任何其他人。即使向履行本合同有关的人员提供，也应注意保密并限于履行合同的必需范围。</w:t>
      </w:r>
    </w:p>
    <w:p w14:paraId="230998FF">
      <w:pPr>
        <w:pageBreakBefore w:val="0"/>
        <w:overflowPunct/>
        <w:topLinePunct w:val="0"/>
        <w:bidi w:val="0"/>
        <w:snapToGrid w:val="0"/>
        <w:spacing w:line="360" w:lineRule="auto"/>
        <w:ind w:left="315" w:leftChars="150"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 关于本项目采购的招投标文件或与本次采购活动方式相适应的文件及有关附件是本合同不可分割的组成部分，这些文件包括但不限于：</w:t>
      </w:r>
    </w:p>
    <w:p w14:paraId="51C63A48">
      <w:pPr>
        <w:pageBreakBefore w:val="0"/>
        <w:overflowPunct/>
        <w:topLinePunct w:val="0"/>
        <w:bidi w:val="0"/>
        <w:snapToGrid w:val="0"/>
        <w:spacing w:line="360" w:lineRule="auto"/>
        <w:ind w:left="359" w:hanging="410" w:hanging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（1）投标响应文件；               （2）投标报价文件；</w:t>
      </w:r>
    </w:p>
    <w:p w14:paraId="3519A068">
      <w:pPr>
        <w:pageBreakBefore w:val="0"/>
        <w:overflowPunct/>
        <w:topLinePunct w:val="0"/>
        <w:bidi w:val="0"/>
        <w:snapToGrid w:val="0"/>
        <w:spacing w:line="360" w:lineRule="auto"/>
        <w:ind w:left="359" w:hanging="410" w:hanging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（3）项目组人员表                 （4）技术参数、商务条款响应及偏离表；</w:t>
      </w:r>
    </w:p>
    <w:p w14:paraId="2549485E">
      <w:pPr>
        <w:pageBreakBefore w:val="0"/>
        <w:overflowPunct/>
        <w:topLinePunct w:val="0"/>
        <w:bidi w:val="0"/>
        <w:snapToGrid w:val="0"/>
        <w:spacing w:line="360" w:lineRule="auto"/>
        <w:ind w:left="359" w:hanging="410" w:hanging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（5）服务承诺；                   （6）中标通知书；</w:t>
      </w:r>
    </w:p>
    <w:p w14:paraId="75A762F1">
      <w:pPr>
        <w:pageBreakBefore w:val="0"/>
        <w:overflowPunct/>
        <w:topLinePunct w:val="0"/>
        <w:bidi w:val="0"/>
        <w:snapToGrid w:val="0"/>
        <w:spacing w:line="360" w:lineRule="auto"/>
        <w:ind w:left="359" w:hanging="410" w:hanging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（7）甲乙双方补充协议；           （8）乙方投标时提供的响应文件。</w:t>
      </w:r>
    </w:p>
    <w:p w14:paraId="0236ED2C">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4、知识产权保证</w:t>
      </w:r>
    </w:p>
    <w:p w14:paraId="1E12AFF6">
      <w:pPr>
        <w:pageBreakBefore w:val="0"/>
        <w:overflowPunct/>
        <w:topLinePunct w:val="0"/>
        <w:autoSpaceDE w:val="0"/>
        <w:autoSpaceDN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乙方保证甲方在使用、接受本合同服务或其任何一部分时，不受第三方提出侵犯其专利权、版权、商标权和工业设计权等知识产权的起诉。一旦出现侵权，由乙方负全部责任。</w:t>
      </w:r>
    </w:p>
    <w:p w14:paraId="05120091">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5、产权保证</w:t>
      </w:r>
    </w:p>
    <w:p w14:paraId="441EFC1F">
      <w:pPr>
        <w:pageBreakBefore w:val="0"/>
        <w:overflowPunct/>
        <w:topLinePunct w:val="0"/>
        <w:autoSpaceDE w:val="0"/>
        <w:autoSpaceDN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乙方保证所交付的服务和服务所涉及的物品所有权无任何抵押、查封等权利瑕疵。</w:t>
      </w:r>
    </w:p>
    <w:p w14:paraId="3445804B">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6、履约保证金</w:t>
      </w:r>
    </w:p>
    <w:p w14:paraId="0C8028F3">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本项目无需缴纳履约保证金。</w:t>
      </w:r>
    </w:p>
    <w:p w14:paraId="14EDDCA1">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7、转包或分包</w:t>
      </w:r>
    </w:p>
    <w:p w14:paraId="0E94E2B6">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本合同禁止转包或分包，本合同范围的服务，应由乙方直接提供的，不得转让他人提供。</w:t>
      </w:r>
    </w:p>
    <w:p w14:paraId="30844BFA">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8、免费维保期</w:t>
      </w:r>
    </w:p>
    <w:p w14:paraId="19BE0269">
      <w:pPr>
        <w:pageBreakBefore w:val="0"/>
        <w:overflowPunct/>
        <w:topLinePunct w:val="0"/>
        <w:bidi w:val="0"/>
        <w:snapToGrid w:val="0"/>
        <w:spacing w:line="360" w:lineRule="auto"/>
        <w:ind w:left="315" w:leftChars="150"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 免费维保期</w:t>
      </w:r>
      <w:r>
        <w:rPr>
          <w:rFonts w:hint="eastAsia" w:asciiTheme="majorEastAsia" w:hAnsiTheme="majorEastAsia" w:eastAsiaTheme="majorEastAsia" w:cstheme="majorEastAsia"/>
          <w:sz w:val="24"/>
          <w:szCs w:val="24"/>
          <w:u w:val="single"/>
        </w:rPr>
        <w:t xml:space="preserve">   /   </w:t>
      </w:r>
      <w:r>
        <w:rPr>
          <w:rFonts w:hint="eastAsia" w:asciiTheme="majorEastAsia" w:hAnsiTheme="majorEastAsia" w:eastAsiaTheme="majorEastAsia" w:cstheme="majorEastAsia"/>
          <w:sz w:val="24"/>
          <w:szCs w:val="24"/>
        </w:rPr>
        <w:t>年。（自验收合格之日起计）</w:t>
      </w:r>
    </w:p>
    <w:p w14:paraId="04DE02A2">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9、交付期限、交付方式及交付地点</w:t>
      </w:r>
    </w:p>
    <w:p w14:paraId="0AE36474">
      <w:pPr>
        <w:pageBreakBefore w:val="0"/>
        <w:overflowPunct/>
        <w:topLinePunct w:val="0"/>
        <w:bidi w:val="0"/>
        <w:snapToGrid w:val="0"/>
        <w:spacing w:line="360" w:lineRule="auto"/>
        <w:ind w:left="315" w:leftChars="150"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w:t>
      </w:r>
      <w:r>
        <w:rPr>
          <w:rFonts w:hint="eastAsia" w:asciiTheme="majorEastAsia" w:hAnsiTheme="majorEastAsia" w:eastAsiaTheme="majorEastAsia" w:cstheme="majorEastAsia"/>
          <w:bCs/>
          <w:sz w:val="24"/>
          <w:szCs w:val="24"/>
        </w:rPr>
        <w:t>服务期限：</w:t>
      </w:r>
      <w:r>
        <w:rPr>
          <w:rFonts w:hint="eastAsia" w:asciiTheme="majorEastAsia" w:hAnsiTheme="majorEastAsia" w:eastAsiaTheme="majorEastAsia" w:cstheme="majorEastAsia"/>
          <w:sz w:val="24"/>
          <w:szCs w:val="24"/>
        </w:rPr>
        <w:t>_________</w:t>
      </w:r>
    </w:p>
    <w:p w14:paraId="040605E4">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9.2 服务方式：</w:t>
      </w:r>
      <w:r>
        <w:rPr>
          <w:rFonts w:hint="eastAsia" w:asciiTheme="majorEastAsia" w:hAnsiTheme="majorEastAsia" w:eastAsiaTheme="majorEastAsia" w:cstheme="majorEastAsia"/>
          <w:sz w:val="24"/>
          <w:szCs w:val="24"/>
        </w:rPr>
        <w:t>_________</w:t>
      </w:r>
    </w:p>
    <w:p w14:paraId="41FB538D">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9.3 服务地点：</w:t>
      </w:r>
      <w:r>
        <w:rPr>
          <w:rFonts w:hint="eastAsia" w:asciiTheme="majorEastAsia" w:hAnsiTheme="majorEastAsia" w:eastAsiaTheme="majorEastAsia" w:cstheme="majorEastAsia"/>
          <w:sz w:val="24"/>
          <w:szCs w:val="24"/>
        </w:rPr>
        <w:t>_________</w:t>
      </w:r>
    </w:p>
    <w:p w14:paraId="63D4F557">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10、服务费支付</w:t>
      </w:r>
    </w:p>
    <w:p w14:paraId="5E34C553">
      <w:pPr>
        <w:pageBreakBefore w:val="0"/>
        <w:overflowPunct/>
        <w:topLinePunct w:val="0"/>
        <w:autoSpaceDE w:val="0"/>
        <w:autoSpaceDN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10.1 本合同项下所有款项均以人民币支付。 </w:t>
      </w:r>
    </w:p>
    <w:p w14:paraId="105225E9">
      <w:pPr>
        <w:pageBreakBefore w:val="0"/>
        <w:overflowPunct/>
        <w:topLinePunct w:val="0"/>
        <w:autoSpaceDE w:val="0"/>
        <w:autoSpaceDN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 本合同项下的采购资金由甲方支付，付款前乙方向甲方开具发票。</w:t>
      </w:r>
    </w:p>
    <w:p w14:paraId="434E7E79">
      <w:pPr>
        <w:pageBreakBefore w:val="0"/>
        <w:overflowPunct/>
        <w:topLinePunct w:val="0"/>
        <w:autoSpaceDE w:val="0"/>
        <w:autoSpaceDN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 甲方付款方式：</w:t>
      </w:r>
    </w:p>
    <w:p w14:paraId="7D23611F">
      <w:pPr>
        <w:pageBreakBefore w:val="0"/>
        <w:widowControl/>
        <w:overflowPunct/>
        <w:topLinePunct w:val="0"/>
        <w:bidi w:val="0"/>
        <w:spacing w:line="360" w:lineRule="auto"/>
        <w:rPr>
          <w:rFonts w:hint="eastAsia" w:asciiTheme="majorEastAsia" w:hAnsiTheme="majorEastAsia" w:eastAsiaTheme="majorEastAsia" w:cstheme="majorEastAsia"/>
          <w:b/>
          <w:bCs/>
          <w:sz w:val="24"/>
          <w:szCs w:val="24"/>
        </w:rPr>
      </w:pPr>
      <w:bookmarkStart w:id="158" w:name="_Toc515613286"/>
      <w:r>
        <w:rPr>
          <w:rFonts w:hint="eastAsia" w:asciiTheme="majorEastAsia" w:hAnsiTheme="majorEastAsia" w:eastAsiaTheme="majorEastAsia" w:cstheme="majorEastAsia"/>
          <w:b/>
          <w:bCs/>
          <w:sz w:val="24"/>
          <w:szCs w:val="24"/>
        </w:rPr>
        <w:t>11、税费</w:t>
      </w:r>
    </w:p>
    <w:p w14:paraId="097D01F4">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本合同执行中相关的一切税费均由乙方负担。</w:t>
      </w:r>
    </w:p>
    <w:p w14:paraId="512069BC">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12、质量保证及售后服务</w:t>
      </w:r>
    </w:p>
    <w:p w14:paraId="3BEB9AA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 乙方应按招标文件规定及响应文件承诺的技术性能、技术要求、质量标准向甲方提供服务；若无特殊说明，则按国家有关部门最新颁布的标准及规范为准。</w:t>
      </w:r>
    </w:p>
    <w:p w14:paraId="62B44B4E">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12.2乙方应保证其提供的服务是全面和规范的，并完全符合招投标文件。如因乙方提供的服务有瑕疵造成甲方损失的，所需费用由乙方承担。</w:t>
      </w:r>
    </w:p>
    <w:p w14:paraId="715BD287">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12.3 如在使用过程中发生质量问题，乙方在接到甲方通知后在_________小时内到达甲方现场。</w:t>
      </w:r>
    </w:p>
    <w:p w14:paraId="24D4D756">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12.4 免费维保期内，乙方应对所提供服务出现的质量及安全问题负责处理解决并承担一切费用。</w:t>
      </w:r>
    </w:p>
    <w:p w14:paraId="378C4E90">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13、交付和验收</w:t>
      </w:r>
    </w:p>
    <w:p w14:paraId="33E2C00F">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乙方应当在合同签订后天内完成服务事项，招标文件有约定的，从其约定。</w:t>
      </w:r>
    </w:p>
    <w:p w14:paraId="7729734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在交付前，乙方应作出全面检查和对验收文件进行整理，并列出清单，作为甲方初验收和使用的技术条件依据，检验的结果交甲方。</w:t>
      </w:r>
    </w:p>
    <w:p w14:paraId="448D6698">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 验收标准：按乙方投标文件的承诺，并不低于国家相关标准。</w:t>
      </w:r>
    </w:p>
    <w:p w14:paraId="794D115A">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222B0AA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13.3 乙方按照招标文件要求负责安装并培训甲方的使用操作人员，乙方在甲方使用前进行调试，调试直到符合技术要求的甲方才做最终验收。</w:t>
      </w:r>
    </w:p>
    <w:p w14:paraId="7C18075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57F20397">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13.5 甲乙双方关于调试和验收的其他约定：。</w:t>
      </w:r>
    </w:p>
    <w:p w14:paraId="6D6812C1">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14、包装、发运及运输</w:t>
      </w:r>
    </w:p>
    <w:p w14:paraId="7EBD3637">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 乙方应对其提供的服务所涉及物品在发运前对其进行满足运输距离、防潮、防震、防锈和防破损装卸等要求包装，以保证安全运达甲方指定地点。</w:t>
      </w:r>
    </w:p>
    <w:p w14:paraId="126ABB59">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14.2 乙方交付时，使用说明书、检验证明书、随配附件和工具以及清单一并附于内。</w:t>
      </w:r>
    </w:p>
    <w:p w14:paraId="4BEA2250">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6B539538">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14.4 服务在交付甲方前发生的风险均由乙方负责。</w:t>
      </w:r>
    </w:p>
    <w:p w14:paraId="235CCC5D">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14.5 服务在规定的交付期限内由乙方送达甲方指定的地点。</w:t>
      </w:r>
    </w:p>
    <w:p w14:paraId="096657EA">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15、违约责任</w:t>
      </w:r>
    </w:p>
    <w:p w14:paraId="5AAC956C">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 甲方无正当理由拒绝初验收和终验收服务项目的，甲方应按未付服务项目款金额每日万分之五向乙方支付违约金。</w:t>
      </w:r>
    </w:p>
    <w:p w14:paraId="14B565C8">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15.2 甲方无故逾期验收和无故逾期办理款项支付手续的,甲方应按逾期付款金额每日万分之五向乙方支付违约金。</w:t>
      </w:r>
    </w:p>
    <w:p w14:paraId="34D29BBB">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15.3乙方违约，在消除违约情形前，应按本合同项目总额每日万分之五向甲方支付违约金，甲方可以从待付款项中扣除。</w:t>
      </w:r>
    </w:p>
    <w:p w14:paraId="1C0C5C05">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15.4乙方因逾期交付服务项目或因其他违约行为，导致甲方解除合同的，乙方应向甲方支付合同总值5%的违约金，如造成甲方损失超过违约金的，超出部分由乙方继续承担赔偿责任。</w:t>
      </w:r>
    </w:p>
    <w:p w14:paraId="48DDBB6A">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5B1AE731">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15.6合同生效后，发现乙方投标属虚假承诺，或经权威部门监测提供的服务不能满足招标文件要求，造成合同无法继续履行的，应向甲方支付不少于合同总价%赔偿金。</w:t>
      </w:r>
    </w:p>
    <w:p w14:paraId="206D08BB">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16、不可抗力事件处理</w:t>
      </w:r>
    </w:p>
    <w:p w14:paraId="5C80CB9D">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5946D730">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30天以上，双方应通过友好协商，确定是否继续履行合同。</w:t>
      </w:r>
    </w:p>
    <w:p w14:paraId="56A897EC">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17、争议解决</w:t>
      </w:r>
    </w:p>
    <w:p w14:paraId="553AC05E">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 因服务的品质质量问题发生争议的，可在国家认可的质量检测机构对服务内容质量进行鉴定。服务符合标准的，鉴定费由甲方承担；服务项目不符合质量标准的，鉴定费由乙方承担。</w:t>
      </w:r>
    </w:p>
    <w:p w14:paraId="6635EDBC">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 因履行本合同引起的或与本合同有关的争议，甲、乙双方应首先通过友好协商解决；如果协商不能解决争议，甲乙双方同意采取下列两种方式的第</w:t>
      </w:r>
      <w:r>
        <w:rPr>
          <w:rFonts w:hint="eastAsia" w:asciiTheme="majorEastAsia" w:hAnsiTheme="majorEastAsia" w:eastAsiaTheme="majorEastAsia" w:cstheme="majorEastAsia"/>
          <w:sz w:val="24"/>
          <w:szCs w:val="24"/>
          <w:u w:val="single"/>
        </w:rPr>
        <w:t>（ 2 ）</w:t>
      </w:r>
      <w:r>
        <w:rPr>
          <w:rFonts w:hint="eastAsia" w:asciiTheme="majorEastAsia" w:hAnsiTheme="majorEastAsia" w:eastAsiaTheme="majorEastAsia" w:cstheme="majorEastAsia"/>
          <w:sz w:val="24"/>
          <w:szCs w:val="24"/>
        </w:rPr>
        <w:t>种方式解决争议：</w:t>
      </w:r>
    </w:p>
    <w:p w14:paraId="67C39A42">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（1）向甲方所在地有管辖权的人民法院提起诉讼，适用中华人民共和国法律；</w:t>
      </w:r>
    </w:p>
    <w:p w14:paraId="280C1F63">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（2）向仪征仲裁委员会按其仲裁规则申请仲裁。</w:t>
      </w:r>
    </w:p>
    <w:p w14:paraId="215FA693">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17.3 若甲乙双方任何一方都没有选择解除合同的，为避免扩大损失，在诉讼或仲裁期间，双方应继续履行。</w:t>
      </w:r>
    </w:p>
    <w:p w14:paraId="157A7C9B">
      <w:pPr>
        <w:pageBreakBefore w:val="0"/>
        <w:overflowPunct/>
        <w:topLinePunct w:val="0"/>
        <w:bidi w:val="0"/>
        <w:snapToGri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18、合同其它</w:t>
      </w:r>
    </w:p>
    <w:p w14:paraId="2A5BEC22">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 乙方应诚实信用，严格按照招标文件要求和投标承诺履行合同，不向甲方进行商业贿赂或者提供不正当利益。</w:t>
      </w:r>
    </w:p>
    <w:p w14:paraId="26B4ABC2">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18.2 合同经双方法定代表人或授权代表签字并加盖单位公章，并经代理公司见证盖章后生效。</w:t>
      </w:r>
    </w:p>
    <w:p w14:paraId="4198C8FC">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18.2本合同未尽事宜，遵照《民法典》有关条文执行。</w:t>
      </w:r>
    </w:p>
    <w:p w14:paraId="7689336F">
      <w:pPr>
        <w:pageBreakBefore w:val="0"/>
        <w:overflowPunct/>
        <w:topLinePunct w:val="0"/>
        <w:bidi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18.3本合同正本一式五份，具有同等法律效力，甲方、乙方各执二份, 见证方执一份。</w:t>
      </w:r>
    </w:p>
    <w:p w14:paraId="122CAE10">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w:t>
      </w:r>
      <w:r>
        <w:rPr>
          <w:rFonts w:hint="eastAsia" w:asciiTheme="majorEastAsia" w:hAnsiTheme="majorEastAsia" w:eastAsiaTheme="majorEastAsia" w:cstheme="majorEastAsia"/>
          <w:color w:val="000000"/>
          <w:sz w:val="24"/>
          <w:szCs w:val="24"/>
        </w:rPr>
        <w:tab/>
      </w:r>
      <w:r>
        <w:rPr>
          <w:rFonts w:hint="eastAsia" w:asciiTheme="majorEastAsia" w:hAnsiTheme="majorEastAsia" w:eastAsiaTheme="majorEastAsia" w:cstheme="majorEastAsia"/>
          <w:color w:val="000000"/>
          <w:sz w:val="24"/>
          <w:szCs w:val="24"/>
        </w:rPr>
        <w:tab/>
      </w:r>
      <w:r>
        <w:rPr>
          <w:rFonts w:hint="eastAsia" w:asciiTheme="majorEastAsia" w:hAnsiTheme="majorEastAsia" w:eastAsiaTheme="majorEastAsia" w:cstheme="majorEastAsia"/>
          <w:color w:val="000000"/>
          <w:sz w:val="24"/>
          <w:szCs w:val="24"/>
        </w:rPr>
        <w:tab/>
      </w:r>
      <w:r>
        <w:rPr>
          <w:rFonts w:hint="eastAsia" w:asciiTheme="majorEastAsia" w:hAnsiTheme="majorEastAsia" w:eastAsiaTheme="majorEastAsia" w:cstheme="majorEastAsia"/>
          <w:color w:val="000000"/>
          <w:sz w:val="24"/>
          <w:szCs w:val="24"/>
        </w:rPr>
        <w:t xml:space="preserve">                             </w:t>
      </w:r>
      <w:r>
        <w:rPr>
          <w:rFonts w:hint="eastAsia" w:asciiTheme="majorEastAsia" w:hAnsiTheme="majorEastAsia" w:eastAsiaTheme="majorEastAsia" w:cstheme="majorEastAsia"/>
          <w:sz w:val="24"/>
          <w:szCs w:val="24"/>
        </w:rPr>
        <w:t xml:space="preserve">乙方： </w:t>
      </w:r>
    </w:p>
    <w:p w14:paraId="06116175">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地址： </w:t>
      </w:r>
    </w:p>
    <w:p w14:paraId="4323C043">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                       法定代表人或授权代表：</w:t>
      </w:r>
    </w:p>
    <w:p w14:paraId="79DC6CC2">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                                    联系电话：日期：      年    月    日                       日期：      年    月    日</w:t>
      </w:r>
    </w:p>
    <w:p w14:paraId="6EE16988">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见证方：仪征传承招投标代理有限公司</w:t>
      </w:r>
    </w:p>
    <w:p w14:paraId="7273A3F2">
      <w:pPr>
        <w:pStyle w:val="18"/>
        <w:pageBreakBefore w:val="0"/>
        <w:overflowPunct/>
        <w:topLinePunct w:val="0"/>
        <w:bidi w:val="0"/>
        <w:spacing w:line="360" w:lineRule="auto"/>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项目见证人</w:t>
      </w:r>
    </w:p>
    <w:p w14:paraId="2DD111F5">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w:t>
      </w:r>
    </w:p>
    <w:p w14:paraId="1EB9780D">
      <w:pPr>
        <w:pageBreakBefore w:val="0"/>
        <w:overflowPunct/>
        <w:topLinePunct w:val="0"/>
        <w:bidi w:val="0"/>
        <w:snapToGrid w:val="0"/>
        <w:spacing w:line="360" w:lineRule="auto"/>
        <w:ind w:firstLine="240" w:firstLineChars="100"/>
        <w:jc w:val="center"/>
        <w:rPr>
          <w:rFonts w:hint="eastAsia" w:asciiTheme="majorEastAsia" w:hAnsiTheme="majorEastAsia" w:eastAsiaTheme="majorEastAsia" w:cstheme="majorEastAsia"/>
          <w:sz w:val="24"/>
          <w:szCs w:val="24"/>
        </w:rPr>
      </w:pPr>
    </w:p>
    <w:p w14:paraId="1A0D0BFA">
      <w:pPr>
        <w:pageBreakBefore w:val="0"/>
        <w:overflowPunct/>
        <w:topLinePunct w:val="0"/>
        <w:bidi w:val="0"/>
        <w:snapToGrid w:val="0"/>
        <w:spacing w:line="360" w:lineRule="auto"/>
        <w:ind w:firstLine="240" w:firstLineChars="100"/>
        <w:jc w:val="center"/>
        <w:rPr>
          <w:rFonts w:hint="eastAsia" w:asciiTheme="majorEastAsia" w:hAnsiTheme="majorEastAsia" w:eastAsiaTheme="majorEastAsia" w:cstheme="majorEastAsia"/>
          <w:sz w:val="24"/>
          <w:szCs w:val="24"/>
        </w:rPr>
      </w:pPr>
    </w:p>
    <w:p w14:paraId="54CF68D6">
      <w:pPr>
        <w:pageBreakBefore w:val="0"/>
        <w:overflowPunct/>
        <w:topLinePunct w:val="0"/>
        <w:bidi w:val="0"/>
        <w:snapToGrid w:val="0"/>
        <w:spacing w:line="360" w:lineRule="auto"/>
        <w:ind w:firstLine="240" w:firstLineChars="100"/>
        <w:jc w:val="center"/>
        <w:rPr>
          <w:rFonts w:hint="eastAsia" w:asciiTheme="majorEastAsia" w:hAnsiTheme="majorEastAsia" w:eastAsiaTheme="majorEastAsia" w:cstheme="majorEastAsia"/>
          <w:sz w:val="24"/>
          <w:szCs w:val="24"/>
        </w:rPr>
      </w:pPr>
    </w:p>
    <w:p w14:paraId="7A346A18">
      <w:pPr>
        <w:pageBreakBefore w:val="0"/>
        <w:overflowPunct/>
        <w:topLinePunct w:val="0"/>
        <w:bidi w:val="0"/>
        <w:snapToGrid w:val="0"/>
        <w:spacing w:line="360" w:lineRule="auto"/>
        <w:ind w:firstLine="240" w:firstLineChars="100"/>
        <w:jc w:val="center"/>
        <w:rPr>
          <w:rFonts w:hint="eastAsia" w:asciiTheme="majorEastAsia" w:hAnsiTheme="majorEastAsia" w:eastAsiaTheme="majorEastAsia" w:cstheme="majorEastAsia"/>
          <w:sz w:val="24"/>
          <w:szCs w:val="24"/>
        </w:rPr>
      </w:pPr>
    </w:p>
    <w:p w14:paraId="431ED446">
      <w:pPr>
        <w:pageBreakBefore w:val="0"/>
        <w:overflowPunct/>
        <w:topLinePunct w:val="0"/>
        <w:bidi w:val="0"/>
        <w:snapToGrid w:val="0"/>
        <w:spacing w:line="360" w:lineRule="auto"/>
        <w:ind w:firstLine="240" w:firstLineChars="100"/>
        <w:jc w:val="center"/>
        <w:rPr>
          <w:rFonts w:hint="eastAsia" w:asciiTheme="majorEastAsia" w:hAnsiTheme="majorEastAsia" w:eastAsiaTheme="majorEastAsia" w:cstheme="majorEastAsia"/>
          <w:sz w:val="24"/>
          <w:szCs w:val="24"/>
        </w:rPr>
        <w:sectPr>
          <w:pgSz w:w="11906" w:h="16838"/>
          <w:pgMar w:top="1440" w:right="1800" w:bottom="1440" w:left="1800" w:header="851" w:footer="992" w:gutter="0"/>
          <w:pgNumType w:fmt="decimal"/>
          <w:cols w:space="720" w:num="1"/>
          <w:docGrid w:type="lines" w:linePitch="312" w:charSpace="0"/>
        </w:sectPr>
      </w:pPr>
    </w:p>
    <w:p w14:paraId="58914CEF">
      <w:pPr>
        <w:pStyle w:val="2"/>
        <w:pageBreakBefore w:val="0"/>
        <w:overflowPunct/>
        <w:topLinePunct w:val="0"/>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第四章 项目需求</w:t>
      </w:r>
      <w:bookmarkEnd w:id="158"/>
      <w:bookmarkStart w:id="159" w:name="_Toc515613287"/>
    </w:p>
    <w:p w14:paraId="449A4E93">
      <w:pPr>
        <w:pStyle w:val="3"/>
        <w:pageBreakBefore w:val="0"/>
        <w:overflowPunct/>
        <w:topLinePunct w:val="0"/>
        <w:bidi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一、技术需求：</w:t>
      </w:r>
    </w:p>
    <w:p w14:paraId="2FD34948">
      <w:pPr>
        <w:pStyle w:val="5"/>
        <w:bidi w:val="0"/>
        <w:rPr>
          <w:rFonts w:hint="eastAsia"/>
        </w:rPr>
      </w:pPr>
      <w:r>
        <w:rPr>
          <w:rFonts w:hint="eastAsia"/>
        </w:rPr>
        <w:t>（一）本次维保维修范围包括仪征市中医院的</w:t>
      </w:r>
      <w:r>
        <w:rPr>
          <w:rFonts w:hint="eastAsia"/>
          <w:b/>
          <w:bCs w:val="0"/>
          <w:lang w:val="en-US" w:eastAsia="zh-CN"/>
        </w:rPr>
        <w:t>氧气负压空气中心医用气体设备全保</w:t>
      </w:r>
      <w:r>
        <w:rPr>
          <w:rFonts w:hint="eastAsia"/>
          <w:b/>
          <w:bCs w:val="0"/>
          <w:color w:val="auto"/>
        </w:rPr>
        <w:t>服务</w:t>
      </w:r>
      <w:r>
        <w:rPr>
          <w:rFonts w:hint="eastAsia"/>
          <w:b/>
          <w:bCs w:val="0"/>
        </w:rPr>
        <w:t>。</w:t>
      </w:r>
      <w:r>
        <w:rPr>
          <w:rFonts w:hint="eastAsia"/>
        </w:rPr>
        <w:t>具体范围详见工程保修清单。</w:t>
      </w:r>
    </w:p>
    <w:tbl>
      <w:tblPr>
        <w:tblStyle w:val="15"/>
        <w:tblW w:w="8519" w:type="dxa"/>
        <w:jc w:val="center"/>
        <w:tblLayout w:type="fixed"/>
        <w:tblCellMar>
          <w:top w:w="0" w:type="dxa"/>
          <w:left w:w="108" w:type="dxa"/>
          <w:bottom w:w="0" w:type="dxa"/>
          <w:right w:w="108" w:type="dxa"/>
        </w:tblCellMar>
      </w:tblPr>
      <w:tblGrid>
        <w:gridCol w:w="942"/>
        <w:gridCol w:w="2265"/>
        <w:gridCol w:w="810"/>
        <w:gridCol w:w="752"/>
        <w:gridCol w:w="3750"/>
      </w:tblGrid>
      <w:tr w14:paraId="0C134276">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0CB2B947">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0"/>
                <w:sz w:val="24"/>
                <w:szCs w:val="24"/>
                <w:highlight w:val="none"/>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41A4C962">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0"/>
                <w:sz w:val="24"/>
                <w:szCs w:val="24"/>
                <w:highlight w:val="none"/>
              </w:rPr>
              <w:t>名称</w:t>
            </w:r>
          </w:p>
        </w:tc>
        <w:tc>
          <w:tcPr>
            <w:tcW w:w="81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6D59ED81">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0"/>
                <w:sz w:val="24"/>
                <w:szCs w:val="24"/>
                <w:highlight w:val="none"/>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6D39498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0"/>
                <w:sz w:val="24"/>
                <w:szCs w:val="24"/>
                <w:highlight w:val="none"/>
              </w:rPr>
              <w:t>数量</w:t>
            </w:r>
          </w:p>
        </w:tc>
        <w:tc>
          <w:tcPr>
            <w:tcW w:w="375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64D86E89">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0"/>
                <w:sz w:val="24"/>
                <w:szCs w:val="24"/>
                <w:highlight w:val="none"/>
              </w:rPr>
              <w:t>备注</w:t>
            </w:r>
          </w:p>
        </w:tc>
      </w:tr>
      <w:tr w14:paraId="5BC5ECE1">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6FF32393">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1</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067D97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医用液氧罐</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0291A70">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6D9FAAEE">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2</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120FE7C1">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p>
        </w:tc>
      </w:tr>
      <w:tr w14:paraId="41B76767">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020F169D">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2</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98B9487">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医用压缩空气机组</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4C37DD0">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20AAE004">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2</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5363BCA4">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必康美德1套、英格索兰1套</w:t>
            </w:r>
          </w:p>
        </w:tc>
      </w:tr>
      <w:tr w14:paraId="7EF37F77">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388C89D7">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3</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4353B63">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负压吸引机组</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BB00F1C">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3FC6A4FB">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1</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6AFE652D">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p>
        </w:tc>
      </w:tr>
      <w:tr w14:paraId="016D78F0">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30A8067F">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kern w:val="0"/>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4</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28E04C2">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牙科负压吸引机组</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9E8406D">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791146FF">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5B9B6F13">
            <w:pPr>
              <w:pageBreakBefore w:val="0"/>
              <w:widowControl/>
              <w:overflowPunct/>
              <w:topLinePunct w:val="0"/>
              <w:bidi w:val="0"/>
              <w:adjustRightInd w:val="0"/>
              <w:snapToGrid w:val="0"/>
              <w:spacing w:line="240" w:lineRule="auto"/>
              <w:jc w:val="center"/>
              <w:textAlignment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2台机组</w:t>
            </w:r>
          </w:p>
        </w:tc>
      </w:tr>
      <w:tr w14:paraId="1856EF12">
        <w:tblPrEx>
          <w:tblCellMar>
            <w:top w:w="0" w:type="dxa"/>
            <w:left w:w="108" w:type="dxa"/>
            <w:bottom w:w="0" w:type="dxa"/>
            <w:right w:w="108" w:type="dxa"/>
          </w:tblCellMar>
        </w:tblPrEx>
        <w:trPr>
          <w:trHeight w:val="689"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6CB20B3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5</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B96B04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气体终端</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7FD7DB9">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只</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71FFB377">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1331</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73E70DB3">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德标气体终端（氧气、吸引、空气）维护保养</w:t>
            </w:r>
          </w:p>
        </w:tc>
      </w:tr>
      <w:tr w14:paraId="7035F2DD">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53FBF408">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6</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827159F">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二级稳压箱</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BDDAC8B">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只</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053BD6D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16</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49117BA0">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二级箱内减压器常规维保</w:t>
            </w:r>
          </w:p>
        </w:tc>
      </w:tr>
      <w:tr w14:paraId="78DB78A7">
        <w:tblPrEx>
          <w:tblCellMar>
            <w:top w:w="0" w:type="dxa"/>
            <w:left w:w="108" w:type="dxa"/>
            <w:bottom w:w="0" w:type="dxa"/>
            <w:right w:w="108" w:type="dxa"/>
          </w:tblCellMar>
        </w:tblPrEx>
        <w:trPr>
          <w:trHeight w:val="50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408423D4">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7</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53133F45">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测压箱</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B9C516A">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只</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254BE075">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21</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5F5339AF">
            <w:pPr>
              <w:pageBreakBefore w:val="0"/>
              <w:overflowPunct/>
              <w:topLinePunct w:val="0"/>
              <w:bidi w:val="0"/>
              <w:adjustRightInd w:val="0"/>
              <w:snapToGrid w:val="0"/>
              <w:spacing w:line="240" w:lineRule="auto"/>
              <w:jc w:val="center"/>
              <w:rPr>
                <w:rFonts w:hint="eastAsia" w:asciiTheme="majorEastAsia" w:hAnsiTheme="majorEastAsia" w:eastAsiaTheme="majorEastAsia" w:cstheme="majorEastAsia"/>
                <w:sz w:val="24"/>
                <w:szCs w:val="24"/>
                <w:highlight w:val="none"/>
              </w:rPr>
            </w:pPr>
          </w:p>
        </w:tc>
      </w:tr>
      <w:tr w14:paraId="49200C85">
        <w:tblPrEx>
          <w:tblCellMar>
            <w:top w:w="0" w:type="dxa"/>
            <w:left w:w="108" w:type="dxa"/>
            <w:bottom w:w="0" w:type="dxa"/>
            <w:right w:w="108" w:type="dxa"/>
          </w:tblCellMar>
        </w:tblPrEx>
        <w:trPr>
          <w:trHeight w:val="689"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4CE6D5A7">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8</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48FD11C">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气体汇流排</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BF138B2">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77250DF0">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3</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23898DBE">
            <w:pPr>
              <w:pageBreakBefore w:val="0"/>
              <w:overflowPunct/>
              <w:topLinePunct w:val="0"/>
              <w:bidi w:val="0"/>
              <w:adjustRightInd w:val="0"/>
              <w:snapToGrid w:val="0"/>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氧气1套、二氧化碳1套、氮气1套</w:t>
            </w:r>
          </w:p>
        </w:tc>
      </w:tr>
      <w:tr w14:paraId="7BA3C71A">
        <w:tblPrEx>
          <w:tblCellMar>
            <w:top w:w="0" w:type="dxa"/>
            <w:left w:w="108" w:type="dxa"/>
            <w:bottom w:w="0" w:type="dxa"/>
            <w:right w:w="108" w:type="dxa"/>
          </w:tblCellMar>
        </w:tblPrEx>
        <w:trPr>
          <w:trHeight w:val="516" w:hRule="atLeast"/>
          <w:jc w:val="center"/>
        </w:trPr>
        <w:tc>
          <w:tcPr>
            <w:tcW w:w="942" w:type="dxa"/>
            <w:tcBorders>
              <w:top w:val="single" w:color="000000" w:sz="4" w:space="0"/>
              <w:left w:val="single" w:color="000000" w:sz="4" w:space="0"/>
              <w:bottom w:val="single" w:color="000000" w:sz="4" w:space="0"/>
              <w:right w:val="single" w:color="000000" w:sz="4" w:space="0"/>
            </w:tcBorders>
            <w:noWrap/>
            <w:vAlign w:val="center"/>
          </w:tcPr>
          <w:p w14:paraId="6398FACE">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kern w:val="0"/>
                <w:sz w:val="24"/>
                <w:szCs w:val="24"/>
                <w:highlight w:val="none"/>
              </w:rPr>
              <w:t>9</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0D0A8EB">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病房呼叫系统</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67AB074">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套</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12D79114">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12</w:t>
            </w:r>
          </w:p>
        </w:tc>
        <w:tc>
          <w:tcPr>
            <w:tcW w:w="3750" w:type="dxa"/>
            <w:tcBorders>
              <w:top w:val="single" w:color="000000" w:sz="4" w:space="0"/>
              <w:left w:val="single" w:color="000000" w:sz="4" w:space="0"/>
              <w:bottom w:val="single" w:color="000000" w:sz="4" w:space="0"/>
              <w:right w:val="single" w:color="000000" w:sz="4" w:space="0"/>
            </w:tcBorders>
            <w:noWrap/>
            <w:vAlign w:val="center"/>
          </w:tcPr>
          <w:p w14:paraId="684801E1">
            <w:pPr>
              <w:pageBreakBefore w:val="0"/>
              <w:widowControl/>
              <w:overflowPunct/>
              <w:topLinePunct w:val="0"/>
              <w:bidi w:val="0"/>
              <w:adjustRightInd w:val="0"/>
              <w:snapToGrid w:val="0"/>
              <w:spacing w:line="240" w:lineRule="auto"/>
              <w:jc w:val="center"/>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呼叫主机、呼叫分机</w:t>
            </w:r>
          </w:p>
        </w:tc>
      </w:tr>
    </w:tbl>
    <w:p w14:paraId="2A85F1C5">
      <w:pPr>
        <w:pStyle w:val="5"/>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服务方式及人员要求：</w:t>
      </w:r>
    </w:p>
    <w:p w14:paraId="3D706A14">
      <w:pPr>
        <w:pageBreakBefore w:val="0"/>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1、成交供应商对采购范围的医用气</w:t>
      </w:r>
      <w:r>
        <w:rPr>
          <w:rFonts w:hint="eastAsia" w:asciiTheme="majorEastAsia" w:hAnsiTheme="majorEastAsia" w:eastAsiaTheme="majorEastAsia" w:cstheme="majorEastAsia"/>
          <w:sz w:val="24"/>
          <w:szCs w:val="24"/>
          <w:highlight w:val="none"/>
        </w:rPr>
        <w:t>体</w:t>
      </w:r>
      <w:r>
        <w:rPr>
          <w:rFonts w:hint="eastAsia" w:asciiTheme="majorEastAsia" w:hAnsiTheme="majorEastAsia" w:eastAsiaTheme="majorEastAsia" w:cstheme="majorEastAsia"/>
          <w:sz w:val="24"/>
          <w:szCs w:val="24"/>
          <w:highlight w:val="none"/>
          <w:lang w:val="en-US" w:eastAsia="zh-CN"/>
        </w:rPr>
        <w:t>设备</w:t>
      </w:r>
      <w:r>
        <w:rPr>
          <w:rFonts w:hint="eastAsia" w:asciiTheme="majorEastAsia" w:hAnsiTheme="majorEastAsia" w:eastAsiaTheme="majorEastAsia" w:cstheme="majorEastAsia"/>
          <w:sz w:val="24"/>
          <w:szCs w:val="24"/>
          <w:highlight w:val="none"/>
        </w:rPr>
        <w:t>进行定期维</w:t>
      </w:r>
      <w:r>
        <w:rPr>
          <w:rFonts w:hint="eastAsia" w:asciiTheme="majorEastAsia" w:hAnsiTheme="majorEastAsia" w:eastAsiaTheme="majorEastAsia" w:cstheme="majorEastAsia"/>
          <w:sz w:val="24"/>
          <w:szCs w:val="24"/>
          <w:highlight w:val="none"/>
          <w:lang w:val="en-US" w:eastAsia="zh-CN"/>
        </w:rPr>
        <w:t>护</w:t>
      </w:r>
      <w:r>
        <w:rPr>
          <w:rFonts w:hint="eastAsia" w:asciiTheme="majorEastAsia" w:hAnsiTheme="majorEastAsia" w:eastAsiaTheme="majorEastAsia" w:cstheme="majorEastAsia"/>
          <w:sz w:val="24"/>
          <w:szCs w:val="24"/>
          <w:highlight w:val="none"/>
        </w:rPr>
        <w:t>保养</w:t>
      </w:r>
      <w:r>
        <w:rPr>
          <w:rFonts w:hint="eastAsia" w:asciiTheme="majorEastAsia" w:hAnsiTheme="majorEastAsia" w:eastAsiaTheme="majorEastAsia" w:cstheme="majorEastAsia"/>
          <w:sz w:val="24"/>
          <w:szCs w:val="24"/>
        </w:rPr>
        <w:t>服务，24 小时不间断响应式服务。定期巡检由成交供应商与采购人进行沟通确认巡检时间，</w:t>
      </w:r>
      <w:r>
        <w:rPr>
          <w:rFonts w:hint="eastAsia" w:asciiTheme="majorEastAsia" w:hAnsiTheme="majorEastAsia" w:eastAsiaTheme="majorEastAsia" w:cstheme="majorEastAsia"/>
          <w:color w:val="000000"/>
          <w:sz w:val="24"/>
          <w:szCs w:val="24"/>
        </w:rPr>
        <w:t>每月不低于1次巡检</w:t>
      </w:r>
      <w:r>
        <w:rPr>
          <w:rFonts w:hint="eastAsia" w:asciiTheme="majorEastAsia" w:hAnsiTheme="majorEastAsia" w:eastAsiaTheme="majorEastAsia" w:cstheme="majorEastAsia"/>
          <w:sz w:val="24"/>
          <w:szCs w:val="24"/>
        </w:rPr>
        <w:t>，如遇紧急</w:t>
      </w:r>
      <w:r>
        <w:rPr>
          <w:rFonts w:hint="eastAsia" w:asciiTheme="majorEastAsia" w:hAnsiTheme="majorEastAsia" w:eastAsiaTheme="majorEastAsia" w:cstheme="majorEastAsia"/>
          <w:sz w:val="24"/>
          <w:szCs w:val="24"/>
          <w:lang w:val="en-US" w:eastAsia="zh-CN"/>
        </w:rPr>
        <w:t>问题</w:t>
      </w:r>
      <w:r>
        <w:rPr>
          <w:rFonts w:hint="eastAsia" w:asciiTheme="majorEastAsia" w:hAnsiTheme="majorEastAsia" w:eastAsiaTheme="majorEastAsia" w:cstheme="majorEastAsia"/>
          <w:sz w:val="24"/>
          <w:szCs w:val="24"/>
        </w:rPr>
        <w:t>供应商应在</w:t>
      </w:r>
      <w:r>
        <w:rPr>
          <w:rFonts w:hint="eastAsia" w:asciiTheme="majorEastAsia" w:hAnsiTheme="majorEastAsia" w:eastAsiaTheme="majorEastAsia" w:cstheme="majorEastAsia"/>
          <w:sz w:val="24"/>
          <w:szCs w:val="24"/>
          <w:highlight w:val="yellow"/>
          <w:lang w:val="en-US" w:eastAsia="zh-CN"/>
        </w:rPr>
        <w:t>4</w:t>
      </w:r>
      <w:r>
        <w:rPr>
          <w:rFonts w:hint="eastAsia" w:asciiTheme="majorEastAsia" w:hAnsiTheme="majorEastAsia" w:eastAsiaTheme="majorEastAsia" w:cstheme="majorEastAsia"/>
          <w:sz w:val="24"/>
          <w:szCs w:val="24"/>
          <w:highlight w:val="yellow"/>
        </w:rPr>
        <w:t>小时</w:t>
      </w:r>
      <w:r>
        <w:rPr>
          <w:rFonts w:hint="eastAsia" w:asciiTheme="majorEastAsia" w:hAnsiTheme="majorEastAsia" w:eastAsiaTheme="majorEastAsia" w:cstheme="majorEastAsia"/>
          <w:sz w:val="24"/>
          <w:szCs w:val="24"/>
          <w:highlight w:val="yellow"/>
          <w:lang w:val="en-US" w:eastAsia="zh-CN"/>
        </w:rPr>
        <w:t>内</w:t>
      </w:r>
      <w:r>
        <w:rPr>
          <w:rFonts w:hint="eastAsia" w:asciiTheme="majorEastAsia" w:hAnsiTheme="majorEastAsia" w:eastAsiaTheme="majorEastAsia" w:cstheme="majorEastAsia"/>
          <w:sz w:val="24"/>
          <w:szCs w:val="24"/>
          <w:highlight w:val="yellow"/>
        </w:rPr>
        <w:t>到</w:t>
      </w:r>
      <w:r>
        <w:rPr>
          <w:rFonts w:hint="eastAsia" w:asciiTheme="majorEastAsia" w:hAnsiTheme="majorEastAsia" w:eastAsiaTheme="majorEastAsia" w:cstheme="majorEastAsia"/>
          <w:sz w:val="24"/>
          <w:szCs w:val="24"/>
        </w:rPr>
        <w:t>达医院进行设备维修工作，因成交供应商未能及时处理导致的一切后果由成交供应商承担。巡检发现问题及时处理，不能及时处理（因配件等需采购原因）应向</w:t>
      </w:r>
      <w:r>
        <w:rPr>
          <w:rFonts w:hint="eastAsia" w:asciiTheme="majorEastAsia" w:hAnsiTheme="majorEastAsia" w:eastAsiaTheme="majorEastAsia" w:cstheme="majorEastAsia"/>
          <w:sz w:val="24"/>
          <w:szCs w:val="24"/>
          <w:lang w:val="en-US" w:eastAsia="zh-CN"/>
        </w:rPr>
        <w:t>采购人</w:t>
      </w:r>
      <w:r>
        <w:rPr>
          <w:rFonts w:hint="eastAsia" w:asciiTheme="majorEastAsia" w:hAnsiTheme="majorEastAsia" w:eastAsiaTheme="majorEastAsia" w:cstheme="majorEastAsia"/>
          <w:sz w:val="24"/>
          <w:szCs w:val="24"/>
        </w:rPr>
        <w:t xml:space="preserve">说明。 </w:t>
      </w:r>
    </w:p>
    <w:p w14:paraId="45A51ED2">
      <w:pPr>
        <w:pageBreakBefore w:val="0"/>
        <w:overflowPunct/>
        <w:topLinePunct w:val="0"/>
        <w:bidi w:val="0"/>
        <w:adjustRightInd w:val="0"/>
        <w:snapToGrid w:val="0"/>
        <w:spacing w:line="360" w:lineRule="auto"/>
        <w:ind w:firstLine="480" w:firstLineChars="200"/>
        <w:rPr>
          <w:rFonts w:hint="eastAsia"/>
        </w:rPr>
      </w:pPr>
      <w:r>
        <w:rPr>
          <w:rFonts w:hint="eastAsia" w:asciiTheme="majorEastAsia" w:hAnsiTheme="majorEastAsia" w:eastAsiaTheme="majorEastAsia" w:cstheme="majorEastAsia"/>
          <w:sz w:val="24"/>
          <w:szCs w:val="24"/>
        </w:rPr>
        <w:t xml:space="preserve">2、本项目的维保人员应全面了解采购人医用气体系统，严格按照采购人管理要求执行；维保期间，积极协调维保期内各项工作需要。 </w:t>
      </w:r>
    </w:p>
    <w:p w14:paraId="576AC02F">
      <w:pPr>
        <w:pStyle w:val="5"/>
        <w:bidi w:val="0"/>
        <w:spacing w:line="360" w:lineRule="auto"/>
        <w:rPr>
          <w:rFonts w:hint="eastAsia"/>
        </w:rPr>
      </w:pPr>
      <w:r>
        <w:rPr>
          <w:rFonts w:hint="eastAsia"/>
        </w:rPr>
        <w:t>（</w:t>
      </w:r>
      <w:r>
        <w:rPr>
          <w:rFonts w:hint="eastAsia"/>
          <w:lang w:val="en-US" w:eastAsia="zh-CN"/>
        </w:rPr>
        <w:t>三</w:t>
      </w:r>
      <w:r>
        <w:rPr>
          <w:rFonts w:hint="eastAsia"/>
        </w:rPr>
        <w:t>）维保服务具体要求</w:t>
      </w:r>
    </w:p>
    <w:tbl>
      <w:tblPr>
        <w:tblStyle w:val="16"/>
        <w:tblW w:w="846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2"/>
        <w:gridCol w:w="6275"/>
      </w:tblGrid>
      <w:tr w14:paraId="4447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5" w:type="dxa"/>
            <w:shd w:val="clear" w:color="auto" w:fill="CFCECE" w:themeFill="background2" w:themeFillShade="E5"/>
            <w:vAlign w:val="center"/>
          </w:tcPr>
          <w:p w14:paraId="00DEB2E1">
            <w:pPr>
              <w:bidi w:val="0"/>
              <w:spacing w:line="360" w:lineRule="auto"/>
              <w:jc w:val="center"/>
              <w:rPr>
                <w:rFonts w:hint="default"/>
                <w:b/>
                <w:bCs/>
                <w:sz w:val="24"/>
                <w:szCs w:val="28"/>
                <w:vertAlign w:val="baseline"/>
                <w:lang w:val="en-US" w:eastAsia="zh-CN"/>
              </w:rPr>
            </w:pPr>
            <w:r>
              <w:rPr>
                <w:rFonts w:hint="eastAsia"/>
                <w:b/>
                <w:bCs/>
                <w:sz w:val="24"/>
                <w:szCs w:val="28"/>
                <w:vertAlign w:val="baseline"/>
                <w:lang w:val="en-US" w:eastAsia="zh-CN"/>
              </w:rPr>
              <w:t>序号</w:t>
            </w:r>
          </w:p>
        </w:tc>
        <w:tc>
          <w:tcPr>
            <w:tcW w:w="1342" w:type="dxa"/>
            <w:shd w:val="clear" w:color="auto" w:fill="CFCECE" w:themeFill="background2" w:themeFillShade="E5"/>
            <w:vAlign w:val="center"/>
          </w:tcPr>
          <w:p w14:paraId="77DF5424">
            <w:pPr>
              <w:bidi w:val="0"/>
              <w:spacing w:line="360" w:lineRule="auto"/>
              <w:jc w:val="center"/>
              <w:rPr>
                <w:rFonts w:hint="default"/>
                <w:b/>
                <w:bCs/>
                <w:sz w:val="24"/>
                <w:szCs w:val="28"/>
                <w:vertAlign w:val="baseline"/>
                <w:lang w:val="en-US" w:eastAsia="zh-CN"/>
              </w:rPr>
            </w:pPr>
            <w:r>
              <w:rPr>
                <w:rFonts w:hint="eastAsia"/>
                <w:b/>
                <w:bCs/>
                <w:sz w:val="24"/>
                <w:szCs w:val="28"/>
                <w:vertAlign w:val="baseline"/>
                <w:lang w:val="en-US" w:eastAsia="zh-CN"/>
              </w:rPr>
              <w:t>服务名称</w:t>
            </w:r>
          </w:p>
        </w:tc>
        <w:tc>
          <w:tcPr>
            <w:tcW w:w="6275" w:type="dxa"/>
            <w:shd w:val="clear" w:color="auto" w:fill="CFCECE" w:themeFill="background2" w:themeFillShade="E5"/>
            <w:vAlign w:val="center"/>
          </w:tcPr>
          <w:p w14:paraId="1A79A5B8">
            <w:pPr>
              <w:bidi w:val="0"/>
              <w:spacing w:line="360" w:lineRule="auto"/>
              <w:jc w:val="center"/>
              <w:rPr>
                <w:rFonts w:hint="default"/>
                <w:b/>
                <w:bCs/>
                <w:sz w:val="24"/>
                <w:szCs w:val="28"/>
                <w:vertAlign w:val="baseline"/>
                <w:lang w:val="en-US" w:eastAsia="zh-CN"/>
              </w:rPr>
            </w:pPr>
            <w:r>
              <w:rPr>
                <w:rFonts w:hint="eastAsia"/>
                <w:b/>
                <w:bCs/>
                <w:sz w:val="24"/>
                <w:szCs w:val="28"/>
                <w:vertAlign w:val="baseline"/>
                <w:lang w:val="en-US" w:eastAsia="zh-CN"/>
              </w:rPr>
              <w:t>维保服务具体要求</w:t>
            </w:r>
          </w:p>
        </w:tc>
      </w:tr>
      <w:tr w14:paraId="1D69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D1DDDCA">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1</w:t>
            </w:r>
          </w:p>
        </w:tc>
        <w:tc>
          <w:tcPr>
            <w:tcW w:w="1342" w:type="dxa"/>
            <w:vAlign w:val="center"/>
          </w:tcPr>
          <w:p w14:paraId="7B4FC635">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医用液氧贮槽</w:t>
            </w:r>
          </w:p>
        </w:tc>
        <w:tc>
          <w:tcPr>
            <w:tcW w:w="6275" w:type="dxa"/>
            <w:vAlign w:val="center"/>
          </w:tcPr>
          <w:p w14:paraId="24018204">
            <w:pPr>
              <w:pageBreakBefore w:val="0"/>
              <w:overflowPunct/>
              <w:topLinePunct w:val="0"/>
              <w:bidi w:val="0"/>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每月检查液氧储罐外壳，检查有无敲打和碰撞的痕迹，确保无泄漏。对液氧设备进行保养，并对汽化器除霜。 </w:t>
            </w:r>
          </w:p>
          <w:p w14:paraId="77CD696E">
            <w:pPr>
              <w:pageBreakBefore w:val="0"/>
              <w:overflowPunct/>
              <w:topLinePunct w:val="0"/>
              <w:bidi w:val="0"/>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每月检查阀门是否处于正确的启闭位置，管道、阀门有无泄漏、堵塞现象，如有问题需及时解决。 </w:t>
            </w:r>
          </w:p>
          <w:p w14:paraId="0DF631C6">
            <w:pPr>
              <w:pageBreakBefore w:val="0"/>
              <w:overflowPunct/>
              <w:topLinePunct w:val="0"/>
              <w:bidi w:val="0"/>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定期校验压力表和安全阀，当安全阀处于故障时，应立即校验安全阀，并取得相应合格的校验报告。 </w:t>
            </w:r>
          </w:p>
          <w:p w14:paraId="36086CF4">
            <w:pPr>
              <w:pageBreakBefore w:val="0"/>
              <w:overflowPunct/>
              <w:topLinePunct w:val="0"/>
              <w:bidi w:val="0"/>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每月检查液氧贮槽的压力情况，检查各阀门密封情况，如遇泄漏及时更换密封件。</w:t>
            </w:r>
          </w:p>
          <w:p w14:paraId="22BDAE59">
            <w:pPr>
              <w:widowControl/>
              <w:spacing w:line="360" w:lineRule="auto"/>
              <w:ind w:firstLine="240" w:firstLineChars="100"/>
              <w:outlineLvl w:val="5"/>
              <w:rPr>
                <w:rFonts w:hint="eastAsia" w:ascii="宋体" w:hAnsi="宋体" w:eastAsia="宋体" w:cs="宋体"/>
                <w:color w:val="auto"/>
                <w:sz w:val="24"/>
                <w:szCs w:val="28"/>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对于设备减压装置、管道等突发性故障，成交供应商应做到及早发现，及时处理、排除故障，保障正常供氧。</w:t>
            </w:r>
          </w:p>
        </w:tc>
      </w:tr>
      <w:tr w14:paraId="7D74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F292FDC">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2</w:t>
            </w:r>
          </w:p>
        </w:tc>
        <w:tc>
          <w:tcPr>
            <w:tcW w:w="1342" w:type="dxa"/>
            <w:vAlign w:val="center"/>
          </w:tcPr>
          <w:p w14:paraId="612C43AF">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医用气体汇流排</w:t>
            </w:r>
          </w:p>
        </w:tc>
        <w:tc>
          <w:tcPr>
            <w:tcW w:w="6275" w:type="dxa"/>
            <w:vAlign w:val="center"/>
          </w:tcPr>
          <w:p w14:paraId="0C263274">
            <w:pPr>
              <w:pageBreakBefore w:val="0"/>
              <w:numPr>
                <w:ilvl w:val="0"/>
                <w:numId w:val="0"/>
              </w:numPr>
              <w:overflowPunct/>
              <w:topLinePunct w:val="0"/>
              <w:bidi w:val="0"/>
              <w:adjustRightInd w:val="0"/>
              <w:snapToGrid w:val="0"/>
              <w:spacing w:line="360" w:lineRule="auto"/>
              <w:ind w:firstLine="240" w:firstLineChars="100"/>
              <w:jc w:val="both"/>
              <w:rPr>
                <w:rFonts w:hint="eastAsia" w:ascii="宋体" w:hAnsi="宋体" w:cs="宋体"/>
                <w:b/>
                <w:bCs/>
                <w:i w:val="0"/>
                <w:iCs w:val="0"/>
                <w:color w:val="auto"/>
                <w:sz w:val="24"/>
                <w:u w:val="none"/>
              </w:rPr>
            </w:pPr>
            <w:r>
              <w:rPr>
                <w:rFonts w:hint="eastAsia" w:ascii="宋体" w:hAnsi="宋体" w:cs="宋体"/>
                <w:i w:val="0"/>
                <w:iCs w:val="0"/>
                <w:color w:val="auto"/>
                <w:sz w:val="24"/>
                <w:u w:val="none"/>
                <w:lang w:val="en-US" w:eastAsia="zh-CN"/>
              </w:rPr>
              <w:t>1、</w:t>
            </w:r>
            <w:r>
              <w:rPr>
                <w:rFonts w:hint="eastAsia" w:ascii="宋体" w:hAnsi="宋体" w:cs="宋体"/>
                <w:i w:val="0"/>
                <w:iCs w:val="0"/>
                <w:color w:val="auto"/>
                <w:sz w:val="24"/>
                <w:u w:val="none"/>
              </w:rPr>
              <w:t>医用汇流排的范围包括但不限于：汇流排、减压阀、氧气体管道、阀门</w:t>
            </w:r>
            <w:r>
              <w:rPr>
                <w:rFonts w:hint="eastAsia" w:ascii="宋体" w:hAnsi="宋体" w:cs="宋体"/>
                <w:i w:val="0"/>
                <w:iCs w:val="0"/>
                <w:color w:val="auto"/>
                <w:sz w:val="24"/>
                <w:u w:val="none"/>
                <w:lang w:val="en-US" w:eastAsia="zh-CN"/>
              </w:rPr>
              <w:t>等。</w:t>
            </w:r>
          </w:p>
          <w:p w14:paraId="1AC93B20">
            <w:pPr>
              <w:widowControl/>
              <w:spacing w:line="360" w:lineRule="auto"/>
              <w:ind w:firstLine="240" w:firstLineChars="100"/>
              <w:outlineLvl w:val="5"/>
              <w:rPr>
                <w:rFonts w:hint="eastAsia" w:ascii="宋体" w:hAnsi="宋体" w:cs="宋体"/>
                <w:i w:val="0"/>
                <w:iCs w:val="0"/>
                <w:color w:val="auto"/>
                <w:sz w:val="24"/>
                <w:u w:val="none"/>
              </w:rPr>
            </w:pPr>
            <w:r>
              <w:rPr>
                <w:rFonts w:hint="eastAsia" w:ascii="宋体" w:hAnsi="宋体" w:cs="宋体"/>
                <w:i w:val="0"/>
                <w:iCs w:val="0"/>
                <w:color w:val="auto"/>
                <w:sz w:val="24"/>
                <w:u w:val="none"/>
              </w:rPr>
              <w:t>2</w:t>
            </w:r>
            <w:r>
              <w:rPr>
                <w:rFonts w:hint="eastAsia" w:ascii="宋体" w:hAnsi="宋体" w:cs="宋体"/>
                <w:i w:val="0"/>
                <w:iCs w:val="0"/>
                <w:color w:val="auto"/>
                <w:sz w:val="24"/>
                <w:u w:val="none"/>
                <w:lang w:eastAsia="zh-CN"/>
              </w:rPr>
              <w:t>、</w:t>
            </w:r>
            <w:r>
              <w:rPr>
                <w:rFonts w:hint="eastAsia" w:ascii="宋体" w:hAnsi="宋体" w:cs="宋体"/>
                <w:i w:val="0"/>
                <w:iCs w:val="0"/>
                <w:color w:val="auto"/>
                <w:sz w:val="24"/>
                <w:u w:val="none"/>
              </w:rPr>
              <w:t>成交供应商确保每</w:t>
            </w:r>
            <w:r>
              <w:rPr>
                <w:rFonts w:hint="eastAsia" w:ascii="宋体" w:hAnsi="宋体" w:cs="宋体"/>
                <w:i w:val="0"/>
                <w:iCs w:val="0"/>
                <w:color w:val="auto"/>
                <w:sz w:val="24"/>
                <w:u w:val="none"/>
                <w:lang w:val="en-US" w:eastAsia="zh-CN"/>
              </w:rPr>
              <w:t>月</w:t>
            </w:r>
            <w:r>
              <w:rPr>
                <w:rFonts w:hint="eastAsia" w:ascii="宋体" w:hAnsi="宋体" w:cs="宋体"/>
                <w:i w:val="0"/>
                <w:iCs w:val="0"/>
                <w:color w:val="auto"/>
                <w:sz w:val="24"/>
                <w:u w:val="none"/>
              </w:rPr>
              <w:t>巡查采购人医用氧气汇流排并做好相关记录、发现问题及时处理并做好记录。巡查内容包括但不限于以下内容：</w:t>
            </w:r>
          </w:p>
          <w:p w14:paraId="675AE0BF">
            <w:pPr>
              <w:spacing w:line="360" w:lineRule="auto"/>
              <w:ind w:firstLine="240" w:firstLineChars="100"/>
              <w:outlineLvl w:val="5"/>
              <w:rPr>
                <w:rFonts w:hint="eastAsia" w:ascii="宋体" w:hAnsi="宋体" w:cs="宋体"/>
                <w:i w:val="0"/>
                <w:iCs w:val="0"/>
                <w:color w:val="auto"/>
                <w:sz w:val="24"/>
                <w:u w:val="none"/>
              </w:rPr>
            </w:pPr>
            <w:r>
              <w:rPr>
                <w:rFonts w:hint="eastAsia" w:ascii="宋体" w:hAnsi="宋体" w:cs="宋体"/>
                <w:i w:val="0"/>
                <w:iCs w:val="0"/>
                <w:color w:val="auto"/>
                <w:sz w:val="24"/>
                <w:u w:val="none"/>
              </w:rPr>
              <w:t>（</w:t>
            </w:r>
            <w:r>
              <w:rPr>
                <w:rFonts w:hint="eastAsia" w:ascii="宋体" w:hAnsi="宋体" w:cs="宋体"/>
                <w:i w:val="0"/>
                <w:iCs w:val="0"/>
                <w:color w:val="auto"/>
                <w:sz w:val="24"/>
                <w:u w:val="none"/>
                <w:lang w:val="en-US" w:eastAsia="zh-CN"/>
              </w:rPr>
              <w:t>1</w:t>
            </w:r>
            <w:r>
              <w:rPr>
                <w:rFonts w:hint="eastAsia" w:ascii="宋体" w:hAnsi="宋体" w:cs="宋体"/>
                <w:i w:val="0"/>
                <w:iCs w:val="0"/>
                <w:color w:val="auto"/>
                <w:sz w:val="24"/>
                <w:u w:val="none"/>
              </w:rPr>
              <w:t>）巡查和记录汇流排系统及减压阀等是否存在漏气，进行必要的维护紧固。</w:t>
            </w:r>
          </w:p>
          <w:p w14:paraId="22A96AFE">
            <w:pPr>
              <w:spacing w:line="360" w:lineRule="auto"/>
              <w:ind w:firstLine="240" w:firstLineChars="100"/>
              <w:outlineLvl w:val="5"/>
              <w:rPr>
                <w:rFonts w:hint="eastAsia" w:ascii="宋体" w:hAnsi="宋体" w:cs="宋体"/>
                <w:i w:val="0"/>
                <w:iCs w:val="0"/>
                <w:color w:val="auto"/>
                <w:sz w:val="24"/>
                <w:u w:val="none"/>
              </w:rPr>
            </w:pPr>
            <w:r>
              <w:rPr>
                <w:rFonts w:hint="eastAsia" w:ascii="宋体" w:hAnsi="宋体" w:cs="宋体"/>
                <w:i w:val="0"/>
                <w:iCs w:val="0"/>
                <w:color w:val="auto"/>
                <w:sz w:val="24"/>
                <w:u w:val="none"/>
              </w:rPr>
              <w:t>（</w:t>
            </w:r>
            <w:r>
              <w:rPr>
                <w:rFonts w:hint="eastAsia" w:ascii="宋体" w:hAnsi="宋体" w:cs="宋体"/>
                <w:i w:val="0"/>
                <w:iCs w:val="0"/>
                <w:color w:val="auto"/>
                <w:sz w:val="24"/>
                <w:u w:val="none"/>
                <w:lang w:val="en-US" w:eastAsia="zh-CN"/>
              </w:rPr>
              <w:t>2</w:t>
            </w:r>
            <w:r>
              <w:rPr>
                <w:rFonts w:hint="eastAsia" w:ascii="宋体" w:hAnsi="宋体" w:cs="宋体"/>
                <w:i w:val="0"/>
                <w:iCs w:val="0"/>
                <w:color w:val="auto"/>
                <w:sz w:val="24"/>
                <w:u w:val="none"/>
              </w:rPr>
              <w:t>）巡查和记录管路连接是否正常，确保使用安全性。</w:t>
            </w:r>
          </w:p>
          <w:p w14:paraId="587A5868">
            <w:pPr>
              <w:spacing w:line="360" w:lineRule="auto"/>
              <w:ind w:firstLine="240" w:firstLineChars="100"/>
              <w:outlineLvl w:val="5"/>
              <w:rPr>
                <w:rFonts w:hint="eastAsia" w:ascii="宋体" w:hAnsi="宋体" w:cs="宋体"/>
                <w:i w:val="0"/>
                <w:iCs w:val="0"/>
                <w:color w:val="auto"/>
                <w:sz w:val="24"/>
                <w:u w:val="none"/>
              </w:rPr>
            </w:pPr>
            <w:r>
              <w:rPr>
                <w:rFonts w:hint="eastAsia" w:ascii="宋体" w:hAnsi="宋体" w:cs="宋体"/>
                <w:i w:val="0"/>
                <w:iCs w:val="0"/>
                <w:color w:val="auto"/>
                <w:sz w:val="24"/>
                <w:u w:val="none"/>
              </w:rPr>
              <w:t>（</w:t>
            </w:r>
            <w:r>
              <w:rPr>
                <w:rFonts w:hint="eastAsia" w:ascii="宋体" w:hAnsi="宋体" w:cs="宋体"/>
                <w:i w:val="0"/>
                <w:iCs w:val="0"/>
                <w:color w:val="auto"/>
                <w:sz w:val="24"/>
                <w:u w:val="none"/>
                <w:lang w:val="en-US" w:eastAsia="zh-CN"/>
              </w:rPr>
              <w:t>3</w:t>
            </w:r>
            <w:r>
              <w:rPr>
                <w:rFonts w:hint="eastAsia" w:ascii="宋体" w:hAnsi="宋体" w:cs="宋体"/>
                <w:i w:val="0"/>
                <w:iCs w:val="0"/>
                <w:color w:val="auto"/>
                <w:sz w:val="24"/>
                <w:u w:val="none"/>
              </w:rPr>
              <w:t>）巡查和记录设备主体部分进行的检查和调整，对已达到使用周期或磨损限度的零部件进行更换。</w:t>
            </w:r>
          </w:p>
          <w:p w14:paraId="1CDAAC28">
            <w:pPr>
              <w:widowControl/>
              <w:spacing w:line="360" w:lineRule="auto"/>
              <w:ind w:firstLine="240" w:firstLineChars="100"/>
              <w:outlineLvl w:val="5"/>
              <w:rPr>
                <w:rFonts w:hint="eastAsia" w:ascii="宋体" w:hAnsi="宋体" w:cs="宋体"/>
                <w:i/>
                <w:iCs/>
                <w:color w:val="auto"/>
                <w:sz w:val="24"/>
                <w:u w:val="single"/>
                <w:lang w:val="en-US" w:eastAsia="zh-CN"/>
              </w:rPr>
            </w:pP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每月定期对采购人汇流排上的高低压加压阀、减压阀进行检查，检查内容包括：是否能正常工作、所有垫片是否完好、各阀门能否正常开关，发现问题应及时维修，并形成报告交采购人。</w:t>
            </w:r>
          </w:p>
        </w:tc>
      </w:tr>
      <w:tr w14:paraId="436E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10F63D7">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3</w:t>
            </w:r>
          </w:p>
        </w:tc>
        <w:tc>
          <w:tcPr>
            <w:tcW w:w="1342" w:type="dxa"/>
            <w:vAlign w:val="center"/>
          </w:tcPr>
          <w:p w14:paraId="09AC0398">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真空吸引机组</w:t>
            </w:r>
          </w:p>
        </w:tc>
        <w:tc>
          <w:tcPr>
            <w:tcW w:w="6275" w:type="dxa"/>
            <w:vAlign w:val="center"/>
          </w:tcPr>
          <w:p w14:paraId="46BF4E1A">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 xml:space="preserve">每月检查真空吸引机组工作状况，确保真空泵启动、运行均正常并满足院方使用要求。 </w:t>
            </w:r>
          </w:p>
          <w:p w14:paraId="62841F71">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 xml:space="preserve">每月检查吸引站房电机、电控柜、单向阀运行状况，吸引压力、上下限、持续时间间隔，滚动轴承温度，滚动轴承是否保持良好的润滑。 </w:t>
            </w:r>
          </w:p>
          <w:p w14:paraId="125FDB94">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 xml:space="preserve">每月检查联轴器及垫片是否损坏和松动，地脚螺丝是否松动，发现松动及时处理。及时调整运行状态保证负压机组安全可靠稳定运行。 </w:t>
            </w:r>
          </w:p>
          <w:p w14:paraId="77282550">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 xml:space="preserve">每月检查泵体的振动情况和监听运转有无杂音。 </w:t>
            </w:r>
          </w:p>
          <w:p w14:paraId="7A104A41">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 xml:space="preserve">每月检查负压机组控制柜各部件安全性检查、机组控制柜保护电路工作状态检查，进行必要的后期调试。 </w:t>
            </w:r>
          </w:p>
          <w:p w14:paraId="3B4EF6C1">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8"/>
                <w:lang w:val="en-US" w:eastAsia="zh-CN"/>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 xml:space="preserve">每月检查负压机组能否正常启停。  </w:t>
            </w:r>
          </w:p>
        </w:tc>
      </w:tr>
      <w:tr w14:paraId="6FB0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4CA79F9">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4</w:t>
            </w:r>
          </w:p>
        </w:tc>
        <w:tc>
          <w:tcPr>
            <w:tcW w:w="1342" w:type="dxa"/>
            <w:vAlign w:val="center"/>
          </w:tcPr>
          <w:p w14:paraId="13B5F4E1">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压缩空气系统</w:t>
            </w:r>
          </w:p>
        </w:tc>
        <w:tc>
          <w:tcPr>
            <w:tcW w:w="6275" w:type="dxa"/>
            <w:vAlign w:val="center"/>
          </w:tcPr>
          <w:p w14:paraId="0EDEC300">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 xml:space="preserve">每月检查空压机运转情况，包括观察空压机排水情况、压力情况等，观察管道过滤器、缓冲罐、干燥机排水情况、压力情况等，包括每台空压机运行时长，确认过滤器状况及冷却油余量，检查冷却油是否有泄漏的情况，空气过滤器芯、润滑油、电子排污阀、转子、运行时间、压力等状态，如有异常情况需及时更换处理。 </w:t>
            </w:r>
          </w:p>
          <w:p w14:paraId="4A23B26F">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 xml:space="preserve">每月检修和记录压缩空气系统对相关管路接头的密封状态进行检查，管路连接部分是否有现漏气现象或垫圈损坏，及时适当扳紧或更换密封垫圈，确保安全和系统正常。 </w:t>
            </w:r>
          </w:p>
          <w:p w14:paraId="331C74BC">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 xml:space="preserve">定期检修和记录贮气罐压力表，检查储气罐安全阀是否能正常起跳、确保储气罐压力在安全范围以内并确保使用。 </w:t>
            </w:r>
          </w:p>
          <w:p w14:paraId="249F3887">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 xml:space="preserve">每月检修和记录设备运行状态，如发现异常或者故障应及时维修。 </w:t>
            </w:r>
          </w:p>
          <w:p w14:paraId="6E00C70B">
            <w:pPr>
              <w:pageBreakBefore w:val="0"/>
              <w:overflowPunct/>
              <w:topLinePunct w:val="0"/>
              <w:bidi w:val="0"/>
              <w:spacing w:line="360" w:lineRule="auto"/>
              <w:ind w:firstLine="240" w:firstLineChars="100"/>
              <w:rPr>
                <w:rFonts w:hint="eastAsia" w:asciiTheme="majorEastAsia" w:hAnsiTheme="majorEastAsia" w:eastAsiaTheme="majorEastAsia" w:cstheme="majorEastAsia"/>
                <w:color w:val="auto"/>
                <w:sz w:val="24"/>
                <w:szCs w:val="28"/>
                <w:lang w:val="en-US" w:eastAsia="zh-CN"/>
              </w:rPr>
            </w:pPr>
            <w:r>
              <w:rPr>
                <w:rFonts w:hint="eastAsia" w:asciiTheme="majorEastAsia" w:hAnsiTheme="majorEastAsia" w:eastAsiaTheme="majorEastAsia" w:cstheme="majorEastAsia"/>
                <w:color w:val="auto"/>
                <w:sz w:val="24"/>
                <w:szCs w:val="28"/>
                <w:lang w:val="en-US" w:eastAsia="zh-CN"/>
              </w:rPr>
              <w:t>5、</w:t>
            </w:r>
            <w:r>
              <w:rPr>
                <w:rFonts w:hint="eastAsia" w:asciiTheme="majorEastAsia" w:hAnsiTheme="majorEastAsia" w:eastAsiaTheme="majorEastAsia" w:cstheme="majorEastAsia"/>
                <w:color w:val="auto"/>
                <w:sz w:val="24"/>
                <w:szCs w:val="28"/>
              </w:rPr>
              <w:t>及时对空压机、储气罐、压力表、安全阀等进行年度检验和定期检验，并取得相应合格的检验报告。</w:t>
            </w:r>
          </w:p>
        </w:tc>
      </w:tr>
      <w:tr w14:paraId="4926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9A771BC">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5</w:t>
            </w:r>
          </w:p>
        </w:tc>
        <w:tc>
          <w:tcPr>
            <w:tcW w:w="1342" w:type="dxa"/>
            <w:vAlign w:val="center"/>
          </w:tcPr>
          <w:p w14:paraId="3A08B039">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医用气体管道系统及末端设施</w:t>
            </w:r>
          </w:p>
        </w:tc>
        <w:tc>
          <w:tcPr>
            <w:tcW w:w="6275" w:type="dxa"/>
            <w:vAlign w:val="center"/>
          </w:tcPr>
          <w:p w14:paraId="7EA99EEC">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医用气体管道系统及末端设施主要包含二级稳压箱、病房设备带、</w:t>
            </w:r>
            <w:r>
              <w:rPr>
                <w:rFonts w:hint="eastAsia" w:asciiTheme="majorEastAsia" w:hAnsiTheme="majorEastAsia" w:eastAsiaTheme="majorEastAsia" w:cstheme="majorEastAsia"/>
                <w:color w:val="auto"/>
                <w:sz w:val="24"/>
                <w:szCs w:val="24"/>
                <w:highlight w:val="none"/>
                <w:lang w:val="en-US" w:eastAsia="zh-CN"/>
              </w:rPr>
              <w:t>氧气、负压、空气终端及管路</w:t>
            </w:r>
            <w:r>
              <w:rPr>
                <w:rFonts w:hint="eastAsia" w:asciiTheme="majorEastAsia" w:hAnsiTheme="majorEastAsia" w:eastAsiaTheme="majorEastAsia" w:cstheme="majorEastAsia"/>
                <w:color w:val="auto"/>
                <w:sz w:val="24"/>
                <w:szCs w:val="24"/>
                <w:highlight w:val="none"/>
              </w:rPr>
              <w:t xml:space="preserve">等。 </w:t>
            </w:r>
          </w:p>
          <w:p w14:paraId="0286EF39">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2、</w:t>
            </w:r>
            <w:r>
              <w:rPr>
                <w:rFonts w:hint="eastAsia" w:asciiTheme="majorEastAsia" w:hAnsiTheme="majorEastAsia" w:eastAsiaTheme="majorEastAsia" w:cstheme="majorEastAsia"/>
                <w:i w:val="0"/>
                <w:iCs w:val="0"/>
                <w:color w:val="auto"/>
                <w:sz w:val="24"/>
                <w:szCs w:val="24"/>
                <w:highlight w:val="none"/>
                <w:u w:val="none"/>
              </w:rPr>
              <w:t>巡检管理要求：成交供应商根据采购人医用气体管道系统的规模、布局、使用特点</w:t>
            </w:r>
            <w:r>
              <w:rPr>
                <w:rFonts w:hint="eastAsia" w:asciiTheme="majorEastAsia" w:hAnsiTheme="majorEastAsia" w:eastAsiaTheme="majorEastAsia" w:cstheme="majorEastAsia"/>
                <w:i w:val="0"/>
                <w:iCs w:val="0"/>
                <w:color w:val="auto"/>
                <w:sz w:val="24"/>
                <w:szCs w:val="24"/>
                <w:highlight w:val="none"/>
                <w:u w:val="none"/>
                <w:lang w:val="en-US" w:eastAsia="zh-CN"/>
              </w:rPr>
              <w:t>，巡检内容应包含以下几点：</w:t>
            </w:r>
          </w:p>
          <w:p w14:paraId="0A31E265">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（1）检查管道运行参数，压力有无欠压。</w:t>
            </w:r>
          </w:p>
          <w:p w14:paraId="36C6F51D">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（2）检查管道现场仪表如流量计、压力表运行是否正常。</w:t>
            </w:r>
          </w:p>
          <w:p w14:paraId="09B62AC3">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（3）检查二级稳压箱、设备带、气体终端等设备，不得有气体泄漏现象。</w:t>
            </w:r>
          </w:p>
          <w:p w14:paraId="2C932A6C">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（4）每季度对设备带系统进行巡检（开关，插座，灯管，灯罩，各气体终端，面板等），如有损坏及时更换并记录。</w:t>
            </w:r>
          </w:p>
          <w:p w14:paraId="2E61F643">
            <w:pPr>
              <w:pageBreakBefore w:val="0"/>
              <w:overflowPunct/>
              <w:topLinePunct w:val="0"/>
              <w:bidi w:val="0"/>
              <w:adjustRightInd w:val="0"/>
              <w:snapToGrid w:val="0"/>
              <w:spacing w:line="360" w:lineRule="auto"/>
              <w:ind w:firstLine="240" w:firstLineChars="100"/>
              <w:rPr>
                <w:rFonts w:hint="eastAsia" w:ascii="宋体" w:hAnsi="宋体" w:eastAsia="宋体" w:cs="宋体"/>
                <w:color w:val="auto"/>
                <w:sz w:val="24"/>
                <w:szCs w:val="28"/>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3、成交供应商在医用气体管道及终端巡检中发现的问题应及时维修，并行形成报告交采购人。</w:t>
            </w:r>
          </w:p>
        </w:tc>
      </w:tr>
      <w:tr w14:paraId="077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CBCC4F4">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6</w:t>
            </w:r>
          </w:p>
        </w:tc>
        <w:tc>
          <w:tcPr>
            <w:tcW w:w="1342" w:type="dxa"/>
            <w:vAlign w:val="center"/>
          </w:tcPr>
          <w:p w14:paraId="2A1F8AC9">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呼叫系统</w:t>
            </w:r>
          </w:p>
        </w:tc>
        <w:tc>
          <w:tcPr>
            <w:tcW w:w="6275" w:type="dxa"/>
            <w:vAlign w:val="center"/>
          </w:tcPr>
          <w:p w14:paraId="57B75CF2">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定期检修和记录传呼系统信号、传呼线路连接是否正常，确保呼叫器正常使用。</w:t>
            </w:r>
          </w:p>
          <w:p w14:paraId="58686677">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 xml:space="preserve">定期维修及更换呼叫器手柄线、分机等易损件。 </w:t>
            </w:r>
          </w:p>
          <w:p w14:paraId="0AE03A16">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定期检查传呼系统信号传呼线路连接是否正常，确保正常使用</w:t>
            </w:r>
            <w:r>
              <w:rPr>
                <w:rFonts w:hint="eastAsia" w:asciiTheme="majorEastAsia" w:hAnsiTheme="majorEastAsia" w:eastAsiaTheme="majorEastAsia" w:cstheme="majorEastAsia"/>
                <w:color w:val="auto"/>
                <w:sz w:val="24"/>
                <w:szCs w:val="24"/>
                <w:lang w:eastAsia="zh-CN"/>
              </w:rPr>
              <w:t>。</w:t>
            </w:r>
          </w:p>
          <w:p w14:paraId="5BC79421">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 xml:space="preserve">根据临床科室使用情况及要求，如须整体更换呼叫系统，数量据实结算。 </w:t>
            </w:r>
          </w:p>
          <w:p w14:paraId="3B5081E9">
            <w:pPr>
              <w:pageBreakBefore w:val="0"/>
              <w:overflowPunct/>
              <w:topLinePunct w:val="0"/>
              <w:bidi w:val="0"/>
              <w:adjustRightInd w:val="0"/>
              <w:snapToGrid w:val="0"/>
              <w:spacing w:line="360" w:lineRule="auto"/>
              <w:ind w:firstLine="240" w:firstLineChars="100"/>
              <w:rPr>
                <w:rFonts w:hint="eastAsia" w:asciiTheme="majorEastAsia" w:hAnsiTheme="majorEastAsia" w:eastAsiaTheme="majorEastAsia" w:cstheme="majorEastAsia"/>
                <w:color w:val="auto"/>
                <w:sz w:val="24"/>
                <w:szCs w:val="28"/>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 xml:space="preserve">定期巡检传呼主机运行状况、各分机有无串号现象、走廊显示屏所显示是否正确，并对有故障的主机、分机进行调试处理。 </w:t>
            </w:r>
          </w:p>
        </w:tc>
      </w:tr>
      <w:tr w14:paraId="6682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FA1A378">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7</w:t>
            </w:r>
          </w:p>
        </w:tc>
        <w:tc>
          <w:tcPr>
            <w:tcW w:w="1342" w:type="dxa"/>
            <w:vAlign w:val="center"/>
          </w:tcPr>
          <w:p w14:paraId="4C9E1097">
            <w:pPr>
              <w:bidi w:val="0"/>
              <w:spacing w:line="360" w:lineRule="auto"/>
              <w:jc w:val="center"/>
              <w:rPr>
                <w:rFonts w:hint="eastAsia"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4"/>
              </w:rPr>
              <w:t>维保工作记录要求</w:t>
            </w:r>
          </w:p>
        </w:tc>
        <w:tc>
          <w:tcPr>
            <w:tcW w:w="6275" w:type="dxa"/>
            <w:vAlign w:val="center"/>
          </w:tcPr>
          <w:p w14:paraId="6863D178">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8"/>
                <w:lang w:val="en-US" w:eastAsia="zh-CN"/>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维护期间工作内容由成交供应商维护人员做记录，新更换的设备及配件亦需交由采购人签字认可</w:t>
            </w:r>
            <w:r>
              <w:rPr>
                <w:rFonts w:hint="eastAsia" w:asciiTheme="majorEastAsia" w:hAnsiTheme="majorEastAsia" w:eastAsiaTheme="majorEastAsia" w:cstheme="majorEastAsia"/>
                <w:color w:val="auto"/>
                <w:sz w:val="24"/>
                <w:szCs w:val="24"/>
                <w:lang w:eastAsia="zh-CN"/>
              </w:rPr>
              <w:t>。</w:t>
            </w:r>
          </w:p>
        </w:tc>
      </w:tr>
      <w:tr w14:paraId="3645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0275FAC6">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微软雅黑" w:hAnsi="微软雅黑" w:eastAsia="微软雅黑" w:cs="微软雅黑"/>
                <w:kern w:val="0"/>
                <w:sz w:val="24"/>
                <w:szCs w:val="24"/>
                <w:highlight w:val="none"/>
              </w:rPr>
              <w:t>★</w:t>
            </w:r>
            <w:r>
              <w:rPr>
                <w:rFonts w:hint="eastAsia" w:asciiTheme="majorEastAsia" w:hAnsiTheme="majorEastAsia" w:eastAsiaTheme="majorEastAsia" w:cstheme="majorEastAsia"/>
                <w:sz w:val="24"/>
                <w:szCs w:val="28"/>
                <w:lang w:val="en-US" w:eastAsia="zh-CN"/>
              </w:rPr>
              <w:t>8</w:t>
            </w:r>
          </w:p>
        </w:tc>
        <w:tc>
          <w:tcPr>
            <w:tcW w:w="1342" w:type="dxa"/>
            <w:vAlign w:val="center"/>
          </w:tcPr>
          <w:p w14:paraId="5380AF3C">
            <w:pPr>
              <w:bidi w:val="0"/>
              <w:spacing w:line="360" w:lineRule="auto"/>
              <w:jc w:val="center"/>
              <w:rPr>
                <w:rFonts w:hint="default" w:asciiTheme="majorEastAsia" w:hAnsiTheme="majorEastAsia" w:eastAsiaTheme="majorEastAsia" w:cstheme="majorEastAsia"/>
                <w:sz w:val="24"/>
                <w:szCs w:val="28"/>
                <w:lang w:val="en-US" w:eastAsia="zh-CN"/>
              </w:rPr>
            </w:pPr>
            <w:r>
              <w:rPr>
                <w:rFonts w:hint="eastAsia" w:asciiTheme="majorEastAsia" w:hAnsiTheme="majorEastAsia" w:eastAsiaTheme="majorEastAsia" w:cstheme="majorEastAsia"/>
                <w:b/>
                <w:bCs/>
                <w:sz w:val="24"/>
                <w:szCs w:val="28"/>
                <w:lang w:val="en-US" w:eastAsia="zh-CN"/>
              </w:rPr>
              <w:t>其他要求</w:t>
            </w:r>
          </w:p>
        </w:tc>
        <w:tc>
          <w:tcPr>
            <w:tcW w:w="6275" w:type="dxa"/>
            <w:vAlign w:val="center"/>
          </w:tcPr>
          <w:p w14:paraId="63444D39">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 xml:space="preserve">压力表，安全阀等定期校验时由成交供应商拆下后按照相关规定委托第三方检测机构进行校验，以保证仪表正常，校验费用由成交供应商承担。 </w:t>
            </w:r>
          </w:p>
          <w:p w14:paraId="01C65A3C">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特种设备（压力容器）如遇年检，由成交供应商联系检验单位，采购人配合以保证特种设备的正常使用，校验费用由成交供应商承担。</w:t>
            </w:r>
          </w:p>
          <w:p w14:paraId="3DBE74E6">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医疗空气压缩机及真空泵等设备需保养，保养费用由成交供应商承担。</w:t>
            </w:r>
          </w:p>
          <w:p w14:paraId="55E75E29">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由于自然灾害及采购人人为损坏维修费用或更换配件费另行收取，且只收取材料成本费用。</w:t>
            </w:r>
          </w:p>
          <w:p w14:paraId="0F4B392E">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如设备出现故障成交供应商优先选择维修，确实不能维修由成交供应商负责更改相同型号设备（如已停产待采购人确认型号后更换）。</w:t>
            </w:r>
          </w:p>
          <w:p w14:paraId="3650AB62">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服务期内包含维修保养等所需的配件</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易损件、</w:t>
            </w:r>
            <w:r>
              <w:rPr>
                <w:rFonts w:hint="eastAsia" w:asciiTheme="majorEastAsia" w:hAnsiTheme="majorEastAsia" w:eastAsiaTheme="majorEastAsia" w:cstheme="majorEastAsia"/>
                <w:color w:val="auto"/>
                <w:sz w:val="24"/>
                <w:szCs w:val="24"/>
              </w:rPr>
              <w:t>耗材，相关费用由供应商承担。</w:t>
            </w:r>
          </w:p>
          <w:p w14:paraId="789E3530">
            <w:pPr>
              <w:pageBreakBefore w:val="0"/>
              <w:overflowPunct/>
              <w:topLinePunct w:val="0"/>
              <w:bidi w:val="0"/>
              <w:snapToGrid w:val="0"/>
              <w:spacing w:line="360" w:lineRule="auto"/>
              <w:ind w:firstLine="240" w:firstLineChars="100"/>
              <w:rPr>
                <w:rFonts w:ascii="宋体" w:hAnsi="宋体" w:cs="宋体"/>
                <w:color w:val="auto"/>
                <w:sz w:val="24"/>
              </w:rPr>
            </w:pPr>
            <w:r>
              <w:rPr>
                <w:rFonts w:hint="eastAsia" w:asciiTheme="majorEastAsia" w:hAnsiTheme="majorEastAsia" w:eastAsiaTheme="majorEastAsia" w:cstheme="majorEastAsia"/>
                <w:color w:val="auto"/>
                <w:sz w:val="24"/>
                <w:szCs w:val="24"/>
                <w:lang w:val="en-US" w:eastAsia="zh-CN"/>
              </w:rPr>
              <w:t>7、</w:t>
            </w:r>
            <w:r>
              <w:rPr>
                <w:rFonts w:hint="eastAsia" w:ascii="宋体" w:hAnsi="宋体" w:cs="宋体" w:eastAsiaTheme="majorEastAsia"/>
                <w:color w:val="auto"/>
                <w:sz w:val="24"/>
                <w:lang w:val="en-US" w:eastAsia="zh-CN"/>
              </w:rPr>
              <w:t>服务期</w:t>
            </w:r>
            <w:r>
              <w:rPr>
                <w:rFonts w:ascii="宋体" w:hAnsi="宋体" w:cs="宋体"/>
                <w:color w:val="auto"/>
                <w:sz w:val="24"/>
              </w:rPr>
              <w:t>内，成交供应商定期为采购人使用部门免费进行</w:t>
            </w:r>
            <w:r>
              <w:rPr>
                <w:rFonts w:hint="eastAsia" w:ascii="宋体" w:hAnsi="宋体" w:cs="宋体"/>
                <w:color w:val="auto"/>
                <w:sz w:val="24"/>
              </w:rPr>
              <w:t>技术</w:t>
            </w:r>
            <w:r>
              <w:rPr>
                <w:rFonts w:ascii="宋体" w:hAnsi="宋体" w:cs="宋体"/>
                <w:color w:val="auto"/>
                <w:sz w:val="24"/>
              </w:rPr>
              <w:t>培训，提供技术支持、业务指导、安全保障与咨询服务，形式由采购人确定。</w:t>
            </w:r>
          </w:p>
          <w:p w14:paraId="00B7E33C">
            <w:pPr>
              <w:pageBreakBefore w:val="0"/>
              <w:overflowPunct/>
              <w:topLinePunct w:val="0"/>
              <w:bidi w:val="0"/>
              <w:snapToGrid w:val="0"/>
              <w:spacing w:line="360" w:lineRule="auto"/>
              <w:ind w:firstLine="240" w:firstLineChars="100"/>
              <w:rPr>
                <w:rFonts w:hint="eastAsia" w:asciiTheme="majorEastAsia" w:hAnsiTheme="majorEastAsia" w:eastAsiaTheme="majorEastAsia" w:cstheme="majorEastAsia"/>
                <w:color w:val="auto"/>
                <w:sz w:val="24"/>
                <w:szCs w:val="28"/>
                <w:lang w:val="en-US" w:eastAsia="zh-CN"/>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未尽事宜，在合同签订时予以明确。</w:t>
            </w:r>
          </w:p>
        </w:tc>
      </w:tr>
    </w:tbl>
    <w:p w14:paraId="5034626F">
      <w:pPr>
        <w:pStyle w:val="3"/>
        <w:bidi w:val="0"/>
        <w:rPr>
          <w:rFonts w:hint="eastAsia"/>
        </w:rPr>
      </w:pPr>
      <w:r>
        <w:rPr>
          <w:rFonts w:hint="eastAsia"/>
        </w:rPr>
        <w:t>二、商务需求</w:t>
      </w:r>
    </w:p>
    <w:tbl>
      <w:tblPr>
        <w:tblStyle w:val="15"/>
        <w:tblW w:w="4930"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56"/>
        <w:gridCol w:w="5838"/>
      </w:tblGrid>
      <w:tr w14:paraId="352F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68" w:type="pct"/>
            <w:shd w:val="clear" w:color="auto" w:fill="CFCECE" w:themeFill="background2" w:themeFillShade="E5"/>
            <w:noWrap w:val="0"/>
            <w:vAlign w:val="center"/>
          </w:tcPr>
          <w:p w14:paraId="6144C0B5">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t>序号</w:t>
            </w:r>
          </w:p>
        </w:tc>
        <w:tc>
          <w:tcPr>
            <w:tcW w:w="1137" w:type="pct"/>
            <w:shd w:val="clear" w:color="auto" w:fill="CFCECE" w:themeFill="background2" w:themeFillShade="E5"/>
            <w:noWrap w:val="0"/>
            <w:vAlign w:val="center"/>
          </w:tcPr>
          <w:p w14:paraId="3BDE7118">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t>商务和服务项目</w:t>
            </w:r>
          </w:p>
        </w:tc>
        <w:tc>
          <w:tcPr>
            <w:tcW w:w="3394" w:type="pct"/>
            <w:shd w:val="clear" w:color="auto" w:fill="CFCECE" w:themeFill="background2" w:themeFillShade="E5"/>
            <w:noWrap w:val="0"/>
            <w:vAlign w:val="center"/>
          </w:tcPr>
          <w:p w14:paraId="0BAFD336">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sz w:val="24"/>
                <w:szCs w:val="24"/>
                <w:highlight w:val="none"/>
                <w:lang w:val="zh-CN"/>
                <w14:textFill>
                  <w14:solidFill>
                    <w14:schemeClr w14:val="tx1"/>
                  </w14:solidFill>
                </w14:textFill>
              </w:rPr>
              <w:t>商务和服务要求</w:t>
            </w:r>
          </w:p>
        </w:tc>
      </w:tr>
      <w:tr w14:paraId="6DC4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68" w:type="pct"/>
            <w:noWrap w:val="0"/>
            <w:vAlign w:val="center"/>
          </w:tcPr>
          <w:p w14:paraId="28F981AB">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snapToGrid w:val="0"/>
                <w:color w:val="auto"/>
                <w:sz w:val="24"/>
                <w:szCs w:val="24"/>
                <w:highlight w:val="none"/>
                <w:lang w:val="zh-CN"/>
              </w:rPr>
            </w:pPr>
            <w:r>
              <w:rPr>
                <w:rFonts w:hint="eastAsia" w:asciiTheme="majorEastAsia" w:hAnsiTheme="majorEastAsia" w:eastAsiaTheme="majorEastAsia" w:cstheme="majorEastAsia"/>
                <w:snapToGrid w:val="0"/>
                <w:color w:val="auto"/>
                <w:sz w:val="24"/>
                <w:szCs w:val="24"/>
                <w:highlight w:val="none"/>
                <w:lang w:val="zh-CN"/>
              </w:rPr>
              <w:t>1</w:t>
            </w:r>
          </w:p>
        </w:tc>
        <w:tc>
          <w:tcPr>
            <w:tcW w:w="1137" w:type="pct"/>
            <w:noWrap w:val="0"/>
            <w:vAlign w:val="center"/>
          </w:tcPr>
          <w:p w14:paraId="41A3A9F4">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采购人</w:t>
            </w:r>
          </w:p>
        </w:tc>
        <w:tc>
          <w:tcPr>
            <w:tcW w:w="3394" w:type="pct"/>
            <w:noWrap w:val="0"/>
            <w:vAlign w:val="center"/>
          </w:tcPr>
          <w:p w14:paraId="5F7CCB7C">
            <w:pPr>
              <w:pageBreakBefore w:val="0"/>
              <w:widowControl/>
              <w:overflowPunct/>
              <w:topLinePunct w:val="0"/>
              <w:bidi w:val="0"/>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仪征市中医院</w:t>
            </w:r>
          </w:p>
        </w:tc>
      </w:tr>
      <w:tr w14:paraId="3E20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8" w:type="pct"/>
            <w:noWrap w:val="0"/>
            <w:vAlign w:val="center"/>
          </w:tcPr>
          <w:p w14:paraId="5F430F2E">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snapToGrid w:val="0"/>
                <w:color w:val="auto"/>
                <w:sz w:val="24"/>
                <w:szCs w:val="24"/>
                <w:highlight w:val="none"/>
                <w:lang w:val="zh-CN" w:eastAsia="zh-CN"/>
              </w:rPr>
            </w:pPr>
            <w:r>
              <w:rPr>
                <w:rFonts w:hint="eastAsia" w:asciiTheme="majorEastAsia" w:hAnsiTheme="majorEastAsia" w:eastAsiaTheme="majorEastAsia" w:cstheme="majorEastAsia"/>
                <w:snapToGrid w:val="0"/>
                <w:color w:val="auto"/>
                <w:sz w:val="24"/>
                <w:szCs w:val="24"/>
                <w:highlight w:val="none"/>
                <w:lang w:val="en-US" w:eastAsia="zh-CN"/>
              </w:rPr>
              <w:t>2</w:t>
            </w:r>
          </w:p>
        </w:tc>
        <w:tc>
          <w:tcPr>
            <w:tcW w:w="1137" w:type="pct"/>
            <w:noWrap w:val="0"/>
            <w:vAlign w:val="center"/>
          </w:tcPr>
          <w:p w14:paraId="75587CB9">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z w:val="24"/>
                <w:szCs w:val="24"/>
                <w:highlight w:val="none"/>
              </w:rPr>
              <w:t>检验方</w:t>
            </w:r>
          </w:p>
        </w:tc>
        <w:tc>
          <w:tcPr>
            <w:tcW w:w="3394" w:type="pct"/>
            <w:noWrap w:val="0"/>
            <w:vAlign w:val="center"/>
          </w:tcPr>
          <w:p w14:paraId="7F42E6D2">
            <w:pPr>
              <w:pageBreakBefore w:val="0"/>
              <w:widowControl/>
              <w:overflowPunct/>
              <w:topLinePunct w:val="0"/>
              <w:bidi w:val="0"/>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采购人</w:t>
            </w:r>
            <w:r>
              <w:rPr>
                <w:rFonts w:hint="eastAsia" w:asciiTheme="majorEastAsia" w:hAnsiTheme="majorEastAsia" w:eastAsiaTheme="majorEastAsia" w:cstheme="majorEastAsia"/>
                <w:color w:val="auto"/>
                <w:sz w:val="24"/>
                <w:szCs w:val="24"/>
                <w:highlight w:val="none"/>
              </w:rPr>
              <w:t>和/或</w:t>
            </w:r>
            <w:r>
              <w:rPr>
                <w:rFonts w:hint="eastAsia" w:asciiTheme="majorEastAsia" w:hAnsiTheme="majorEastAsia" w:eastAsiaTheme="majorEastAsia" w:cstheme="majorEastAsia"/>
                <w:color w:val="auto"/>
                <w:sz w:val="24"/>
                <w:szCs w:val="24"/>
                <w:highlight w:val="none"/>
                <w:lang w:val="en-US" w:eastAsia="zh-CN"/>
              </w:rPr>
              <w:t>供应商</w:t>
            </w:r>
            <w:r>
              <w:rPr>
                <w:rFonts w:hint="eastAsia" w:asciiTheme="majorEastAsia" w:hAnsiTheme="majorEastAsia" w:eastAsiaTheme="majorEastAsia" w:cstheme="majorEastAsia"/>
                <w:color w:val="auto"/>
                <w:sz w:val="24"/>
                <w:szCs w:val="24"/>
                <w:highlight w:val="none"/>
              </w:rPr>
              <w:t>委托的监理单位及有关管理部门</w:t>
            </w:r>
          </w:p>
        </w:tc>
      </w:tr>
      <w:tr w14:paraId="310F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68" w:type="pct"/>
            <w:noWrap w:val="0"/>
            <w:vAlign w:val="center"/>
          </w:tcPr>
          <w:p w14:paraId="22DDA16C">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snapToGrid w:val="0"/>
                <w:color w:val="auto"/>
                <w:sz w:val="24"/>
                <w:szCs w:val="24"/>
                <w:highlight w:val="yellow"/>
                <w:lang w:val="zh-CN" w:eastAsia="zh-CN"/>
              </w:rPr>
            </w:pPr>
            <w:r>
              <w:rPr>
                <w:rFonts w:hint="eastAsia" w:asciiTheme="majorEastAsia" w:hAnsiTheme="majorEastAsia" w:eastAsiaTheme="majorEastAsia" w:cstheme="majorEastAsia"/>
                <w:snapToGrid w:val="0"/>
                <w:color w:val="auto"/>
                <w:sz w:val="24"/>
                <w:szCs w:val="24"/>
                <w:highlight w:val="yellow"/>
              </w:rPr>
              <w:t>★</w:t>
            </w:r>
            <w:r>
              <w:rPr>
                <w:rFonts w:hint="eastAsia" w:asciiTheme="majorEastAsia" w:hAnsiTheme="majorEastAsia" w:eastAsiaTheme="majorEastAsia" w:cstheme="majorEastAsia"/>
                <w:snapToGrid w:val="0"/>
                <w:color w:val="auto"/>
                <w:sz w:val="24"/>
                <w:szCs w:val="24"/>
                <w:highlight w:val="yellow"/>
                <w:lang w:val="en-US" w:eastAsia="zh-CN"/>
              </w:rPr>
              <w:t>3</w:t>
            </w:r>
          </w:p>
        </w:tc>
        <w:tc>
          <w:tcPr>
            <w:tcW w:w="1137" w:type="pct"/>
            <w:noWrap w:val="0"/>
            <w:vAlign w:val="center"/>
          </w:tcPr>
          <w:p w14:paraId="1A150711">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yellow"/>
                <w:lang w:val="zh-CN"/>
              </w:rPr>
            </w:pPr>
            <w:r>
              <w:rPr>
                <w:rFonts w:hint="eastAsia" w:asciiTheme="majorEastAsia" w:hAnsiTheme="majorEastAsia" w:eastAsiaTheme="majorEastAsia" w:cstheme="majorEastAsia"/>
                <w:color w:val="auto"/>
                <w:sz w:val="24"/>
                <w:szCs w:val="24"/>
                <w:highlight w:val="yellow"/>
              </w:rPr>
              <w:t>服务期</w:t>
            </w:r>
          </w:p>
        </w:tc>
        <w:tc>
          <w:tcPr>
            <w:tcW w:w="3394" w:type="pct"/>
            <w:noWrap w:val="0"/>
            <w:vAlign w:val="center"/>
          </w:tcPr>
          <w:p w14:paraId="7583CBA0">
            <w:pPr>
              <w:pageBreakBefore w:val="0"/>
              <w:widowControl/>
              <w:overflowPunct/>
              <w:topLinePunct w:val="0"/>
              <w:bidi w:val="0"/>
              <w:spacing w:line="240" w:lineRule="auto"/>
              <w:jc w:val="left"/>
              <w:rPr>
                <w:rFonts w:hint="eastAsia" w:asciiTheme="majorEastAsia" w:hAnsiTheme="majorEastAsia" w:eastAsiaTheme="majorEastAsia" w:cstheme="majorEastAsia"/>
                <w:color w:val="auto"/>
                <w:sz w:val="24"/>
                <w:szCs w:val="24"/>
                <w:highlight w:val="yellow"/>
              </w:rPr>
            </w:pP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highlight w:val="yellow"/>
                <w:lang w:val="en-US" w:eastAsia="zh-CN"/>
              </w:rPr>
              <w:t>一年</w:t>
            </w:r>
            <w:r>
              <w:rPr>
                <w:rFonts w:hint="eastAsia" w:ascii="宋体" w:hAnsi="宋体"/>
                <w:color w:val="auto"/>
                <w:sz w:val="24"/>
                <w:szCs w:val="24"/>
                <w:highlight w:val="none"/>
              </w:rPr>
              <w:t>（</w:t>
            </w:r>
            <w:r>
              <w:rPr>
                <w:rFonts w:hint="eastAsia" w:ascii="宋体" w:hAnsi="宋体" w:eastAsia="宋体" w:cs="宋体"/>
                <w:color w:val="FF0000"/>
                <w:szCs w:val="21"/>
                <w:lang w:val="en-US" w:eastAsia="zh-CN"/>
              </w:rPr>
              <w:t>该合同一年期满后，经采购人考核合格后续签下一年度服务合同，以此类推，最多自动顺延2次。在自动顺延期间，双方仍按本服务合同的条款履行和接受服务</w:t>
            </w:r>
            <w:r>
              <w:rPr>
                <w:rFonts w:hint="eastAsia" w:ascii="宋体" w:hAnsi="宋体"/>
                <w:color w:val="auto"/>
                <w:sz w:val="24"/>
                <w:szCs w:val="24"/>
                <w:highlight w:val="none"/>
              </w:rPr>
              <w:t>）</w:t>
            </w:r>
            <w:r>
              <w:rPr>
                <w:rFonts w:hint="eastAsia" w:ascii="宋体" w:hAnsi="宋体" w:cs="宋体"/>
                <w:color w:val="000000"/>
                <w:szCs w:val="21"/>
                <w:highlight w:val="yellow"/>
              </w:rPr>
              <w:t>。</w:t>
            </w:r>
            <w:bookmarkStart w:id="177" w:name="_GoBack"/>
            <w:bookmarkEnd w:id="177"/>
          </w:p>
        </w:tc>
      </w:tr>
      <w:tr w14:paraId="7330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8" w:type="pct"/>
            <w:noWrap w:val="0"/>
            <w:vAlign w:val="center"/>
          </w:tcPr>
          <w:p w14:paraId="35F8C1E5">
            <w:pPr>
              <w:pageBreakBefore w:val="0"/>
              <w:overflowPunct/>
              <w:topLinePunct w:val="0"/>
              <w:autoSpaceDE w:val="0"/>
              <w:autoSpaceDN w:val="0"/>
              <w:bidi w:val="0"/>
              <w:adjustRightInd w:val="0"/>
              <w:snapToGrid w:val="0"/>
              <w:spacing w:line="240" w:lineRule="auto"/>
              <w:jc w:val="left"/>
              <w:rPr>
                <w:rFonts w:hint="default" w:asciiTheme="majorEastAsia" w:hAnsiTheme="majorEastAsia" w:eastAsiaTheme="majorEastAsia" w:cstheme="majorEastAsia"/>
                <w:snapToGrid w:val="0"/>
                <w:color w:val="auto"/>
                <w:sz w:val="24"/>
                <w:szCs w:val="24"/>
                <w:highlight w:val="yellow"/>
                <w:lang w:val="en-US" w:eastAsia="zh-CN"/>
              </w:rPr>
            </w:pPr>
            <w:r>
              <w:rPr>
                <w:rFonts w:hint="eastAsia" w:asciiTheme="majorEastAsia" w:hAnsiTheme="majorEastAsia" w:eastAsiaTheme="majorEastAsia" w:cstheme="majorEastAsia"/>
                <w:snapToGrid w:val="0"/>
                <w:color w:val="auto"/>
                <w:sz w:val="24"/>
                <w:szCs w:val="24"/>
                <w:highlight w:val="yellow"/>
              </w:rPr>
              <w:t>★</w:t>
            </w:r>
            <w:r>
              <w:rPr>
                <w:rFonts w:hint="eastAsia" w:asciiTheme="majorEastAsia" w:hAnsiTheme="majorEastAsia" w:eastAsiaTheme="majorEastAsia" w:cstheme="majorEastAsia"/>
                <w:snapToGrid w:val="0"/>
                <w:color w:val="auto"/>
                <w:sz w:val="24"/>
                <w:szCs w:val="24"/>
                <w:highlight w:val="yellow"/>
                <w:lang w:val="en-US" w:eastAsia="zh-CN"/>
              </w:rPr>
              <w:t>4</w:t>
            </w:r>
          </w:p>
        </w:tc>
        <w:tc>
          <w:tcPr>
            <w:tcW w:w="1137" w:type="pct"/>
            <w:noWrap w:val="0"/>
            <w:vAlign w:val="center"/>
          </w:tcPr>
          <w:p w14:paraId="33F00D16">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yellow"/>
              </w:rPr>
            </w:pPr>
            <w:r>
              <w:rPr>
                <w:rFonts w:hint="eastAsia" w:asciiTheme="majorEastAsia" w:hAnsiTheme="majorEastAsia" w:eastAsiaTheme="majorEastAsia" w:cstheme="majorEastAsia"/>
                <w:color w:val="auto"/>
                <w:sz w:val="24"/>
                <w:szCs w:val="24"/>
                <w:highlight w:val="yellow"/>
              </w:rPr>
              <w:t>服务地点</w:t>
            </w:r>
          </w:p>
        </w:tc>
        <w:tc>
          <w:tcPr>
            <w:tcW w:w="3394" w:type="pct"/>
            <w:noWrap w:val="0"/>
            <w:vAlign w:val="center"/>
          </w:tcPr>
          <w:p w14:paraId="7D668ABC">
            <w:pPr>
              <w:pStyle w:val="6"/>
              <w:pageBreakBefore w:val="0"/>
              <w:overflowPunct/>
              <w:topLinePunct w:val="0"/>
              <w:bidi w:val="0"/>
              <w:spacing w:line="240" w:lineRule="auto"/>
              <w:jc w:val="left"/>
              <w:rPr>
                <w:rFonts w:hint="eastAsia" w:asciiTheme="majorEastAsia" w:hAnsiTheme="majorEastAsia" w:eastAsiaTheme="majorEastAsia" w:cstheme="majorEastAsia"/>
                <w:color w:val="auto"/>
                <w:sz w:val="24"/>
                <w:szCs w:val="24"/>
                <w:highlight w:val="yellow"/>
              </w:rPr>
            </w:pPr>
            <w:r>
              <w:rPr>
                <w:rFonts w:hint="eastAsia" w:asciiTheme="majorEastAsia" w:hAnsiTheme="majorEastAsia" w:eastAsiaTheme="majorEastAsia" w:cstheme="majorEastAsia"/>
                <w:color w:val="auto"/>
                <w:sz w:val="24"/>
                <w:szCs w:val="24"/>
                <w:highlight w:val="yellow"/>
              </w:rPr>
              <w:t>仪征市中医院指定地点</w:t>
            </w:r>
          </w:p>
        </w:tc>
      </w:tr>
      <w:tr w14:paraId="57FF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68" w:type="pct"/>
            <w:noWrap w:val="0"/>
            <w:vAlign w:val="center"/>
          </w:tcPr>
          <w:p w14:paraId="19C1715E">
            <w:pPr>
              <w:pageBreakBefore w:val="0"/>
              <w:overflowPunct/>
              <w:topLinePunct w:val="0"/>
              <w:autoSpaceDE w:val="0"/>
              <w:autoSpaceDN w:val="0"/>
              <w:bidi w:val="0"/>
              <w:adjustRightInd w:val="0"/>
              <w:snapToGrid w:val="0"/>
              <w:spacing w:line="240" w:lineRule="auto"/>
              <w:jc w:val="left"/>
              <w:rPr>
                <w:rFonts w:hint="eastAsia" w:asciiTheme="majorEastAsia" w:hAnsiTheme="majorEastAsia" w:eastAsiaTheme="majorEastAsia" w:cstheme="majorEastAsia"/>
                <w:snapToGrid w:val="0"/>
                <w:color w:val="auto"/>
                <w:sz w:val="24"/>
                <w:szCs w:val="24"/>
                <w:highlight w:val="yellow"/>
                <w:lang w:eastAsia="zh-CN"/>
              </w:rPr>
            </w:pPr>
            <w:r>
              <w:rPr>
                <w:rFonts w:hint="eastAsia" w:asciiTheme="majorEastAsia" w:hAnsiTheme="majorEastAsia" w:eastAsiaTheme="majorEastAsia" w:cstheme="majorEastAsia"/>
                <w:snapToGrid w:val="0"/>
                <w:color w:val="auto"/>
                <w:sz w:val="24"/>
                <w:szCs w:val="24"/>
                <w:highlight w:val="yellow"/>
              </w:rPr>
              <w:t>★</w:t>
            </w:r>
            <w:r>
              <w:rPr>
                <w:rFonts w:hint="eastAsia" w:asciiTheme="majorEastAsia" w:hAnsiTheme="majorEastAsia" w:eastAsiaTheme="majorEastAsia" w:cstheme="majorEastAsia"/>
                <w:snapToGrid w:val="0"/>
                <w:color w:val="auto"/>
                <w:sz w:val="24"/>
                <w:szCs w:val="24"/>
                <w:highlight w:val="yellow"/>
                <w:lang w:val="en-US" w:eastAsia="zh-CN"/>
              </w:rPr>
              <w:t>5</w:t>
            </w:r>
          </w:p>
        </w:tc>
        <w:tc>
          <w:tcPr>
            <w:tcW w:w="1137" w:type="pct"/>
            <w:noWrap w:val="0"/>
            <w:vAlign w:val="center"/>
          </w:tcPr>
          <w:p w14:paraId="00AD0DB0">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yellow"/>
                <w:u w:val="none"/>
                <w:lang w:val="zh-CN"/>
              </w:rPr>
            </w:pPr>
            <w:r>
              <w:rPr>
                <w:rFonts w:hint="eastAsia" w:asciiTheme="majorEastAsia" w:hAnsiTheme="majorEastAsia" w:eastAsiaTheme="majorEastAsia" w:cstheme="majorEastAsia"/>
                <w:color w:val="auto"/>
                <w:sz w:val="24"/>
                <w:szCs w:val="24"/>
                <w:highlight w:val="yellow"/>
                <w:u w:val="none"/>
              </w:rPr>
              <w:t>付款方式</w:t>
            </w:r>
          </w:p>
        </w:tc>
        <w:tc>
          <w:tcPr>
            <w:tcW w:w="3394" w:type="pct"/>
            <w:noWrap w:val="0"/>
            <w:vAlign w:val="center"/>
          </w:tcPr>
          <w:p w14:paraId="65EC52FC">
            <w:pPr>
              <w:pageBreakBefore w:val="0"/>
              <w:widowControl/>
              <w:overflowPunct/>
              <w:topLinePunct w:val="0"/>
              <w:bidi w:val="0"/>
              <w:spacing w:line="240" w:lineRule="auto"/>
              <w:jc w:val="left"/>
              <w:rPr>
                <w:rFonts w:hint="eastAsia" w:asciiTheme="majorEastAsia" w:hAnsiTheme="majorEastAsia" w:eastAsiaTheme="majorEastAsia" w:cstheme="majorEastAsia"/>
                <w:snapToGrid w:val="0"/>
                <w:color w:val="auto"/>
                <w:sz w:val="24"/>
                <w:szCs w:val="24"/>
                <w:highlight w:val="yellow"/>
              </w:rPr>
            </w:pPr>
            <w:r>
              <w:rPr>
                <w:rFonts w:hint="eastAsia" w:asciiTheme="majorEastAsia" w:hAnsiTheme="majorEastAsia" w:eastAsiaTheme="majorEastAsia" w:cstheme="majorEastAsia"/>
                <w:color w:val="auto"/>
                <w:sz w:val="24"/>
                <w:szCs w:val="24"/>
                <w:highlight w:val="yellow"/>
              </w:rPr>
              <w:t>合同签订后服务期内每半年经考核通过后支付</w:t>
            </w:r>
            <w:r>
              <w:rPr>
                <w:rFonts w:hint="eastAsia" w:asciiTheme="majorEastAsia" w:hAnsiTheme="majorEastAsia" w:eastAsiaTheme="majorEastAsia" w:cstheme="majorEastAsia"/>
                <w:color w:val="auto"/>
                <w:sz w:val="24"/>
                <w:szCs w:val="24"/>
                <w:highlight w:val="yellow"/>
                <w:lang w:val="en-US" w:eastAsia="zh-CN"/>
              </w:rPr>
              <w:t>合同价的50%</w:t>
            </w:r>
            <w:r>
              <w:rPr>
                <w:rFonts w:hint="eastAsia" w:asciiTheme="majorEastAsia" w:hAnsiTheme="majorEastAsia" w:eastAsiaTheme="majorEastAsia" w:cstheme="majorEastAsia"/>
                <w:color w:val="auto"/>
                <w:sz w:val="24"/>
                <w:szCs w:val="24"/>
                <w:highlight w:val="yellow"/>
              </w:rPr>
              <w:t>，服务期满经考核通过后付清全款。</w:t>
            </w:r>
          </w:p>
        </w:tc>
      </w:tr>
    </w:tbl>
    <w:p w14:paraId="7B1FC58D">
      <w:pPr>
        <w:pageBreakBefore w:val="0"/>
        <w:overflowPunct/>
        <w:topLinePunct w:val="0"/>
        <w:autoSpaceDE w:val="0"/>
        <w:autoSpaceDN w:val="0"/>
        <w:bidi w:val="0"/>
        <w:adjustRightInd w:val="0"/>
        <w:spacing w:line="360" w:lineRule="auto"/>
        <w:jc w:val="left"/>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w:t>
      </w:r>
      <w:r>
        <w:rPr>
          <w:rFonts w:hint="eastAsia" w:asciiTheme="majorEastAsia" w:hAnsiTheme="majorEastAsia" w:eastAsiaTheme="majorEastAsia" w:cstheme="majorEastAsia"/>
          <w:b/>
          <w:kern w:val="0"/>
          <w:sz w:val="24"/>
          <w:szCs w:val="24"/>
          <w:lang w:val="zh-CN"/>
        </w:rPr>
        <w:t>注: 商务需求中所有指标必须全部响应，任意一项不满足将判定为无效投标</w:t>
      </w:r>
    </w:p>
    <w:p w14:paraId="7F9317AD">
      <w:pPr>
        <w:pStyle w:val="3"/>
        <w:bidi w:val="0"/>
        <w:rPr>
          <w:rFonts w:hint="eastAsia"/>
        </w:rPr>
      </w:pPr>
      <w:r>
        <w:rPr>
          <w:rFonts w:hint="eastAsia"/>
        </w:rPr>
        <w:t>三、项目其它要求</w:t>
      </w:r>
    </w:p>
    <w:p w14:paraId="462A7E37">
      <w:pPr>
        <w:bidi w:val="0"/>
        <w:spacing w:line="360" w:lineRule="auto"/>
        <w:ind w:firstLine="420" w:firstLineChars="0"/>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1</w:t>
      </w:r>
      <w:r>
        <w:rPr>
          <w:rFonts w:hint="eastAsia" w:asciiTheme="majorEastAsia" w:hAnsiTheme="majorEastAsia" w:eastAsiaTheme="majorEastAsia" w:cstheme="majorEastAsia"/>
          <w:sz w:val="24"/>
          <w:szCs w:val="28"/>
        </w:rPr>
        <w:t>、产品质量、功能、技术先进性：本次产品应有完善的质量保证措施，参数满足谈判文件要求，制造工艺成熟，技术先进，功能齐备。</w:t>
      </w:r>
    </w:p>
    <w:p w14:paraId="2B98C828">
      <w:pPr>
        <w:bidi w:val="0"/>
        <w:spacing w:line="360" w:lineRule="auto"/>
        <w:ind w:firstLine="420" w:firstLineChars="0"/>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2</w:t>
      </w:r>
      <w:r>
        <w:rPr>
          <w:rFonts w:hint="eastAsia" w:asciiTheme="majorEastAsia" w:hAnsiTheme="majorEastAsia" w:eastAsiaTheme="majorEastAsia" w:cstheme="majorEastAsia"/>
          <w:sz w:val="24"/>
          <w:szCs w:val="28"/>
        </w:rPr>
        <w:t>、常用零配件保障措施：供应商应有完善的零配件保障措施，可以有效应对设备日常维保及损坏维修需要。确保设备在出现故障后，有效保障供应商在采购人规定的时间内完成修复工作，并使设备在寿命周期内正常稳定运行。</w:t>
      </w:r>
    </w:p>
    <w:p w14:paraId="098BCB91">
      <w:pPr>
        <w:bidi w:val="0"/>
        <w:spacing w:line="360" w:lineRule="auto"/>
        <w:ind w:firstLine="420" w:firstLineChars="0"/>
        <w:rPr>
          <w:rFonts w:hint="eastAsia"/>
          <w:lang w:val="en-US" w:eastAsia="zh-CN"/>
        </w:rPr>
      </w:pPr>
      <w:r>
        <w:rPr>
          <w:rFonts w:hint="eastAsia" w:asciiTheme="majorEastAsia" w:hAnsiTheme="majorEastAsia" w:eastAsiaTheme="majorEastAsia" w:cstheme="majorEastAsia"/>
          <w:sz w:val="24"/>
          <w:szCs w:val="28"/>
          <w:lang w:val="en-US" w:eastAsia="zh-CN"/>
        </w:rPr>
        <w:t>3</w:t>
      </w:r>
      <w:r>
        <w:rPr>
          <w:rFonts w:hint="eastAsia" w:asciiTheme="majorEastAsia" w:hAnsiTheme="majorEastAsia" w:eastAsiaTheme="majorEastAsia" w:cstheme="majorEastAsia"/>
          <w:sz w:val="24"/>
          <w:szCs w:val="28"/>
        </w:rPr>
        <w:t>、增值服务或优惠内容：供应商可针对本项目提出针对性的增值服务或优惠内容，服务应考虑周到，对采购人具备实际价值（例如：可有效降低设备使用成本、优化设备使用效率或提升日常服务体验等，具体由供应商自选考虑）。</w:t>
      </w:r>
    </w:p>
    <w:p w14:paraId="661804EC">
      <w:pPr>
        <w:pStyle w:val="3"/>
        <w:bidi w:val="0"/>
        <w:spacing w:line="360" w:lineRule="auto"/>
        <w:rPr>
          <w:rFonts w:hint="default" w:eastAsia="宋体"/>
          <w:lang w:val="en-US" w:eastAsia="zh-CN"/>
        </w:rPr>
      </w:pPr>
      <w:r>
        <w:rPr>
          <w:rFonts w:hint="eastAsia"/>
          <w:lang w:val="en-US" w:eastAsia="zh-CN"/>
        </w:rPr>
        <w:t>四</w:t>
      </w:r>
      <w:r>
        <w:rPr>
          <w:rFonts w:hint="eastAsia"/>
        </w:rPr>
        <w:t>、现场踏勘时间、地点</w:t>
      </w:r>
      <w:r>
        <w:rPr>
          <w:rFonts w:hint="eastAsia"/>
          <w:lang w:val="en-US" w:eastAsia="zh-CN"/>
        </w:rPr>
        <w:t xml:space="preserve">   </w:t>
      </w:r>
    </w:p>
    <w:p w14:paraId="6180DFB3">
      <w:pPr>
        <w:pageBreakBefore w:val="0"/>
        <w:overflowPunct/>
        <w:topLinePunct w:val="0"/>
        <w:bidi w:val="0"/>
        <w:adjustRightInd w:val="0"/>
        <w:snapToGrid w:val="0"/>
        <w:spacing w:line="360" w:lineRule="auto"/>
        <w:ind w:firstLine="420"/>
        <w:rPr>
          <w:rFonts w:hint="eastAsia" w:asciiTheme="majorEastAsia" w:hAnsiTheme="majorEastAsia" w:eastAsiaTheme="majorEastAsia" w:cstheme="majorEastAsia"/>
          <w:b/>
          <w:bCs/>
          <w:kern w:val="0"/>
          <w:position w:val="-10"/>
          <w:sz w:val="24"/>
          <w:szCs w:val="20"/>
        </w:rPr>
      </w:pPr>
      <w:r>
        <w:rPr>
          <w:rFonts w:hint="eastAsia" w:asciiTheme="majorEastAsia" w:hAnsiTheme="majorEastAsia" w:eastAsiaTheme="majorEastAsia" w:cstheme="majorEastAsia"/>
          <w:bCs/>
          <w:kern w:val="0"/>
          <w:position w:val="-10"/>
          <w:sz w:val="24"/>
          <w:szCs w:val="20"/>
        </w:rPr>
        <w:t>本项目不组织现场踏勘。供应商可自行前往现场查看相关情况，遵守采购人相关要求，并不得影响采购人正常工作秩序。中标后，供应商不得以现场情况未了解清楚为由向采购人提出提升报价或其他任何要求。</w:t>
      </w:r>
    </w:p>
    <w:p w14:paraId="6CCCCB25">
      <w:pPr>
        <w:pStyle w:val="2"/>
        <w:bidi w:val="0"/>
        <w:jc w:val="center"/>
        <w:rPr>
          <w:rStyle w:val="24"/>
          <w:b/>
          <w:bCs/>
        </w:rPr>
      </w:pPr>
      <w:r>
        <w:rPr>
          <w:rFonts w:hint="eastAsia" w:asciiTheme="majorEastAsia" w:hAnsiTheme="majorEastAsia" w:eastAsiaTheme="majorEastAsia" w:cstheme="majorEastAsia"/>
          <w:sz w:val="24"/>
          <w:szCs w:val="24"/>
        </w:rPr>
        <w:br w:type="page"/>
      </w:r>
      <w:bookmarkEnd w:id="159"/>
      <w:r>
        <w:rPr>
          <w:rStyle w:val="24"/>
          <w:rFonts w:hint="eastAsia"/>
          <w:b/>
          <w:bCs/>
          <w:lang w:val="en-US" w:eastAsia="zh-CN"/>
        </w:rPr>
        <w:t xml:space="preserve"> </w:t>
      </w:r>
      <w:r>
        <w:rPr>
          <w:rStyle w:val="24"/>
          <w:rFonts w:hint="eastAsia"/>
          <w:b/>
          <w:bCs/>
        </w:rPr>
        <w:t>第五章  评审方法与评审标准</w:t>
      </w:r>
    </w:p>
    <w:p w14:paraId="423A6D3A">
      <w:pPr>
        <w:pStyle w:val="12"/>
        <w:keepNext w:val="0"/>
        <w:keepLines w:val="0"/>
        <w:pageBreakBefore w:val="0"/>
        <w:widowControl w:val="0"/>
        <w:kinsoku/>
        <w:wordWrap/>
        <w:overflowPunct/>
        <w:topLinePunct w:val="0"/>
        <w:autoSpaceDE/>
        <w:autoSpaceDN/>
        <w:bidi w:val="0"/>
        <w:snapToGrid/>
        <w:spacing w:before="0" w:after="0" w:line="360" w:lineRule="auto"/>
        <w:jc w:val="both"/>
        <w:rPr>
          <w:rFonts w:hint="eastAsia" w:asciiTheme="majorEastAsia" w:hAnsiTheme="majorEastAsia" w:eastAsiaTheme="majorEastAsia" w:cstheme="majorEastAsia"/>
          <w:bCs w:val="0"/>
          <w:kern w:val="2"/>
          <w:sz w:val="24"/>
          <w:szCs w:val="24"/>
        </w:rPr>
      </w:pPr>
      <w:bookmarkStart w:id="160" w:name="_Toc508646227"/>
      <w:bookmarkStart w:id="161" w:name="_Toc503874597"/>
      <w:bookmarkStart w:id="162" w:name="_Toc533151631"/>
      <w:bookmarkStart w:id="163" w:name="_Hlk44580142"/>
      <w:r>
        <w:rPr>
          <w:rFonts w:hint="eastAsia" w:asciiTheme="majorEastAsia" w:hAnsiTheme="majorEastAsia" w:eastAsiaTheme="majorEastAsia" w:cstheme="majorEastAsia"/>
          <w:bCs w:val="0"/>
          <w:kern w:val="2"/>
          <w:sz w:val="24"/>
          <w:szCs w:val="24"/>
        </w:rPr>
        <w:t>一、评标方法</w:t>
      </w:r>
      <w:bookmarkEnd w:id="160"/>
      <w:bookmarkEnd w:id="161"/>
      <w:bookmarkEnd w:id="162"/>
    </w:p>
    <w:p w14:paraId="6C502863">
      <w:pPr>
        <w:pStyle w:val="20"/>
        <w:keepNext w:val="0"/>
        <w:keepLines w:val="0"/>
        <w:pageBreakBefore w:val="0"/>
        <w:widowControl w:val="0"/>
        <w:kinsoku/>
        <w:wordWrap/>
        <w:overflowPunct/>
        <w:topLinePunct w:val="0"/>
        <w:autoSpaceDE/>
        <w:autoSpaceDN/>
        <w:bidi w:val="0"/>
        <w:snapToGrid/>
        <w:spacing w:before="0" w:after="0" w:line="360" w:lineRule="auto"/>
        <w:ind w:firstLine="480" w:firstLineChars="20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14:paraId="2606722E">
      <w:pPr>
        <w:pStyle w:val="20"/>
        <w:keepNext w:val="0"/>
        <w:keepLines w:val="0"/>
        <w:pageBreakBefore w:val="0"/>
        <w:widowControl w:val="0"/>
        <w:kinsoku/>
        <w:wordWrap/>
        <w:overflowPunct/>
        <w:topLinePunct w:val="0"/>
        <w:autoSpaceDE/>
        <w:autoSpaceDN/>
        <w:bidi w:val="0"/>
        <w:snapToGrid/>
        <w:spacing w:before="0" w:after="0" w:line="360" w:lineRule="auto"/>
        <w:ind w:firstLine="0"/>
        <w:rPr>
          <w:rFonts w:ascii="宋体" w:hAnsi="宋体"/>
          <w:sz w:val="24"/>
          <w:szCs w:val="24"/>
        </w:rPr>
      </w:pPr>
      <w:r>
        <w:rPr>
          <w:rFonts w:hint="eastAsia" w:asciiTheme="majorEastAsia" w:hAnsiTheme="majorEastAsia" w:eastAsiaTheme="majorEastAsia" w:cstheme="majorEastAsia"/>
          <w:b/>
          <w:kern w:val="2"/>
          <w:sz w:val="24"/>
          <w:szCs w:val="24"/>
        </w:rPr>
        <w:t>二、评标标准</w:t>
      </w:r>
    </w:p>
    <w:bookmarkEnd w:id="163"/>
    <w:tbl>
      <w:tblPr>
        <w:tblStyle w:val="15"/>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30"/>
        <w:gridCol w:w="7308"/>
        <w:gridCol w:w="699"/>
      </w:tblGrid>
      <w:tr w14:paraId="0349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2512B490">
            <w:pPr>
              <w:widowControl/>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序号</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0D33D6A">
            <w:pPr>
              <w:widowControl/>
              <w:spacing w:line="360" w:lineRule="auto"/>
              <w:jc w:val="center"/>
              <w:rPr>
                <w:rFonts w:ascii="宋体" w:hAnsi="宋体" w:cs="宋体"/>
                <w:bCs/>
                <w:sz w:val="24"/>
                <w:szCs w:val="24"/>
                <w:highlight w:val="none"/>
              </w:rPr>
            </w:pPr>
            <w:r>
              <w:rPr>
                <w:rFonts w:hint="eastAsia" w:ascii="宋体" w:hAnsi="宋体" w:cs="宋体"/>
                <w:bCs/>
                <w:sz w:val="24"/>
                <w:szCs w:val="24"/>
                <w:highlight w:val="none"/>
              </w:rPr>
              <w:t>评分因素</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02CBA894">
            <w:pPr>
              <w:widowControl/>
              <w:spacing w:line="360" w:lineRule="auto"/>
              <w:jc w:val="center"/>
              <w:rPr>
                <w:rFonts w:ascii="宋体" w:hAnsi="宋体" w:cs="宋体"/>
                <w:bCs/>
                <w:sz w:val="24"/>
                <w:szCs w:val="24"/>
                <w:highlight w:val="none"/>
              </w:rPr>
            </w:pPr>
            <w:r>
              <w:rPr>
                <w:rFonts w:hint="eastAsia" w:ascii="宋体" w:hAnsi="宋体" w:cs="宋体"/>
                <w:bCs/>
                <w:sz w:val="24"/>
                <w:szCs w:val="24"/>
                <w:highlight w:val="none"/>
              </w:rPr>
              <w:t>评审标准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D836107">
            <w:pPr>
              <w:widowControl/>
              <w:spacing w:line="360" w:lineRule="auto"/>
              <w:jc w:val="center"/>
              <w:rPr>
                <w:rFonts w:ascii="宋体" w:hAnsi="宋体" w:cs="宋体"/>
                <w:bCs/>
                <w:sz w:val="24"/>
                <w:szCs w:val="24"/>
                <w:highlight w:val="none"/>
              </w:rPr>
            </w:pPr>
            <w:r>
              <w:rPr>
                <w:rFonts w:hint="eastAsia" w:ascii="宋体" w:hAnsi="宋体" w:cs="宋体"/>
                <w:bCs/>
                <w:sz w:val="24"/>
                <w:szCs w:val="24"/>
                <w:highlight w:val="none"/>
              </w:rPr>
              <w:t>分值</w:t>
            </w:r>
          </w:p>
        </w:tc>
      </w:tr>
      <w:tr w14:paraId="3F6C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404A627">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89B2812">
            <w:pPr>
              <w:widowControl/>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价格</w:t>
            </w:r>
          </w:p>
          <w:p w14:paraId="09931FDD">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w:t>
            </w:r>
            <w:r>
              <w:rPr>
                <w:rFonts w:ascii="宋体" w:hAnsi="宋体" w:cs="宋体"/>
                <w:bCs/>
                <w:sz w:val="24"/>
                <w:szCs w:val="24"/>
                <w:highlight w:val="none"/>
              </w:rPr>
              <w:t>0</w:t>
            </w:r>
            <w:r>
              <w:rPr>
                <w:rFonts w:hint="eastAsia" w:ascii="宋体" w:hAnsi="宋体" w:cs="宋体"/>
                <w:bCs/>
                <w:sz w:val="24"/>
                <w:szCs w:val="24"/>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4ECD76E4">
            <w:pPr>
              <w:widowControl/>
              <w:adjustRightInd w:val="0"/>
              <w:snapToGrid w:val="0"/>
              <w:spacing w:line="360" w:lineRule="auto"/>
              <w:jc w:val="left"/>
              <w:rPr>
                <w:rFonts w:ascii="宋体" w:hAnsi="宋体" w:cs="宋体"/>
                <w:bCs/>
                <w:sz w:val="24"/>
                <w:szCs w:val="24"/>
                <w:highlight w:val="none"/>
              </w:rPr>
            </w:pPr>
            <w:r>
              <w:rPr>
                <w:rFonts w:hint="eastAsia" w:ascii="宋体" w:hAnsi="宋体" w:eastAsia="宋体" w:cs="宋体"/>
                <w:bCs/>
                <w:kern w:val="0"/>
                <w:sz w:val="24"/>
                <w:szCs w:val="24"/>
                <w:highlight w:val="none"/>
                <w:lang w:val="en-US" w:eastAsia="zh-CN" w:bidi="ar-SA"/>
              </w:rPr>
              <w:t>满足招标文件要求且最后报价最低的供应商价格为基准价，其价格分为满分。其他供应商的价格分按照下列公式计算（价格分保留两位小数）:报价得分＝（基准价/最后报价）×</w:t>
            </w:r>
            <w:r>
              <w:rPr>
                <w:rFonts w:hint="eastAsia" w:ascii="宋体" w:hAnsi="宋体" w:cs="宋体"/>
                <w:bCs/>
                <w:kern w:val="0"/>
                <w:sz w:val="24"/>
                <w:szCs w:val="24"/>
                <w:highlight w:val="none"/>
                <w:lang w:val="en-US" w:eastAsia="zh-CN" w:bidi="ar-SA"/>
              </w:rPr>
              <w:t>1</w:t>
            </w:r>
            <w:r>
              <w:rPr>
                <w:rFonts w:hint="eastAsia" w:ascii="宋体" w:hAnsi="宋体" w:eastAsia="宋体" w:cs="宋体"/>
                <w:bCs/>
                <w:kern w:val="0"/>
                <w:sz w:val="24"/>
                <w:szCs w:val="24"/>
                <w:highlight w:val="none"/>
                <w:lang w:val="en-US" w:eastAsia="zh-CN" w:bidi="ar-SA"/>
              </w:rPr>
              <w:t>0分。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EA3EC01">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10</w:t>
            </w:r>
          </w:p>
        </w:tc>
      </w:tr>
      <w:tr w14:paraId="79E0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55" w:type="dxa"/>
            <w:tcBorders>
              <w:top w:val="single" w:color="auto" w:sz="4" w:space="0"/>
              <w:left w:val="single" w:color="auto" w:sz="4" w:space="0"/>
              <w:right w:val="single" w:color="auto" w:sz="4" w:space="0"/>
            </w:tcBorders>
            <w:noWrap w:val="0"/>
            <w:vAlign w:val="center"/>
          </w:tcPr>
          <w:p w14:paraId="68E2F988">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1430" w:type="dxa"/>
            <w:tcBorders>
              <w:top w:val="single" w:color="auto" w:sz="4" w:space="0"/>
              <w:left w:val="single" w:color="auto" w:sz="4" w:space="0"/>
              <w:right w:val="single" w:color="auto" w:sz="4" w:space="0"/>
            </w:tcBorders>
            <w:noWrap w:val="0"/>
            <w:vAlign w:val="center"/>
          </w:tcPr>
          <w:p w14:paraId="4B2CEB9A">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技术要求（</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0分）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19BE4176">
            <w:pPr>
              <w:bidi w:val="0"/>
              <w:spacing w:line="360" w:lineRule="auto"/>
              <w:rPr>
                <w:rFonts w:hint="eastAsia" w:ascii="宋体" w:hAnsi="宋体" w:cs="宋体"/>
                <w:bCs/>
                <w:szCs w:val="24"/>
                <w:highlight w:val="none"/>
              </w:rPr>
            </w:pPr>
            <w:r>
              <w:rPr>
                <w:rFonts w:hint="eastAsia"/>
                <w:sz w:val="24"/>
                <w:szCs w:val="28"/>
                <w:lang w:val="en-US" w:eastAsia="zh-CN"/>
              </w:rPr>
              <w:t>全部</w:t>
            </w:r>
            <w:r>
              <w:rPr>
                <w:rFonts w:hint="eastAsia"/>
                <w:sz w:val="24"/>
                <w:szCs w:val="28"/>
              </w:rPr>
              <w:t>满足</w:t>
            </w:r>
            <w:r>
              <w:rPr>
                <w:rFonts w:hint="eastAsia"/>
                <w:sz w:val="24"/>
                <w:szCs w:val="28"/>
                <w:lang w:val="en-US" w:eastAsia="zh-CN"/>
              </w:rPr>
              <w:t>项目需求带“★”条款</w:t>
            </w:r>
            <w:r>
              <w:rPr>
                <w:rFonts w:hint="eastAsia"/>
                <w:sz w:val="24"/>
                <w:szCs w:val="28"/>
              </w:rPr>
              <w:t>要求</w:t>
            </w:r>
            <w:r>
              <w:rPr>
                <w:rFonts w:hint="eastAsia"/>
                <w:sz w:val="24"/>
                <w:szCs w:val="28"/>
                <w:lang w:val="en-US" w:eastAsia="zh-CN"/>
              </w:rPr>
              <w:t>的</w:t>
            </w:r>
            <w:r>
              <w:rPr>
                <w:rFonts w:hint="eastAsia"/>
                <w:sz w:val="24"/>
                <w:szCs w:val="28"/>
              </w:rPr>
              <w:t>得</w:t>
            </w:r>
            <w:r>
              <w:rPr>
                <w:rFonts w:hint="eastAsia"/>
                <w:sz w:val="24"/>
                <w:szCs w:val="28"/>
                <w:lang w:val="en-US" w:eastAsia="zh-CN"/>
              </w:rPr>
              <w:t>40</w:t>
            </w:r>
            <w:r>
              <w:rPr>
                <w:rFonts w:hint="eastAsia"/>
                <w:sz w:val="24"/>
                <w:szCs w:val="28"/>
              </w:rPr>
              <w:t>分，正偏离不加分，</w:t>
            </w:r>
            <w:r>
              <w:rPr>
                <w:rFonts w:hint="eastAsia"/>
                <w:sz w:val="24"/>
                <w:szCs w:val="28"/>
                <w:lang w:val="en-US" w:eastAsia="zh-CN"/>
              </w:rPr>
              <w:t>带“★”条款</w:t>
            </w:r>
            <w:r>
              <w:rPr>
                <w:rFonts w:hint="eastAsia"/>
                <w:sz w:val="24"/>
                <w:szCs w:val="28"/>
              </w:rPr>
              <w:t>有一项指标负偏离</w:t>
            </w:r>
            <w:r>
              <w:rPr>
                <w:rFonts w:hint="eastAsia"/>
                <w:sz w:val="24"/>
                <w:szCs w:val="28"/>
                <w:lang w:val="en-US" w:eastAsia="zh-CN"/>
              </w:rPr>
              <w:t>的</w:t>
            </w:r>
            <w:r>
              <w:rPr>
                <w:rFonts w:hint="eastAsia"/>
                <w:sz w:val="24"/>
                <w:szCs w:val="28"/>
              </w:rPr>
              <w:t>扣</w:t>
            </w:r>
            <w:r>
              <w:rPr>
                <w:rFonts w:hint="eastAsia"/>
                <w:sz w:val="24"/>
                <w:szCs w:val="28"/>
                <w:lang w:val="en-US" w:eastAsia="zh-CN"/>
              </w:rPr>
              <w:t>2</w:t>
            </w:r>
            <w:r>
              <w:rPr>
                <w:rFonts w:hint="eastAsia"/>
                <w:sz w:val="24"/>
                <w:szCs w:val="28"/>
              </w:rPr>
              <w:t>分，扣完为止。</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6503EDF">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0</w:t>
            </w:r>
          </w:p>
        </w:tc>
      </w:tr>
      <w:tr w14:paraId="691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vMerge w:val="restart"/>
            <w:tcBorders>
              <w:top w:val="single" w:color="auto" w:sz="4" w:space="0"/>
              <w:left w:val="single" w:color="auto" w:sz="4" w:space="0"/>
              <w:right w:val="single" w:color="auto" w:sz="4" w:space="0"/>
            </w:tcBorders>
            <w:noWrap w:val="0"/>
            <w:vAlign w:val="center"/>
          </w:tcPr>
          <w:p w14:paraId="76876B4F">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1430" w:type="dxa"/>
            <w:vMerge w:val="restart"/>
            <w:tcBorders>
              <w:top w:val="single" w:color="auto" w:sz="4" w:space="0"/>
              <w:left w:val="single" w:color="auto" w:sz="4" w:space="0"/>
              <w:right w:val="single" w:color="auto" w:sz="4" w:space="0"/>
            </w:tcBorders>
            <w:noWrap w:val="0"/>
            <w:vAlign w:val="center"/>
          </w:tcPr>
          <w:p w14:paraId="54F659A0">
            <w:pPr>
              <w:widowControl/>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服务方案</w:t>
            </w:r>
          </w:p>
          <w:p w14:paraId="501677B9">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27</w:t>
            </w:r>
            <w:r>
              <w:rPr>
                <w:rFonts w:hint="eastAsia" w:ascii="宋体" w:hAnsi="宋体" w:cs="宋体"/>
                <w:bCs/>
                <w:sz w:val="24"/>
                <w:szCs w:val="24"/>
                <w:highlight w:val="none"/>
              </w:rPr>
              <w:t>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32B1127B">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1、项目维保方案：</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p w14:paraId="5CCD9F2E">
            <w:pPr>
              <w:widowControl/>
              <w:adjustRightInd w:val="0"/>
              <w:snapToGrid w:val="0"/>
              <w:spacing w:line="360" w:lineRule="auto"/>
              <w:jc w:val="left"/>
              <w:rPr>
                <w:rFonts w:hint="eastAsia"/>
                <w:highlight w:val="none"/>
              </w:rPr>
            </w:pPr>
            <w:r>
              <w:rPr>
                <w:rFonts w:hint="eastAsia" w:ascii="宋体" w:hAnsi="宋体" w:cs="宋体"/>
                <w:sz w:val="24"/>
                <w:szCs w:val="24"/>
                <w:highlight w:val="none"/>
              </w:rPr>
              <w:t>供应商根据项目需求制定相关项目维保方案，包括但不限于维护保养计划、进度安排、日常巡查计划等。方案完整详实、科学合理、具备针对性且切实可行、满足采购人实际需求的得</w:t>
            </w:r>
            <w:r>
              <w:rPr>
                <w:rFonts w:hint="eastAsia" w:ascii="宋体" w:hAnsi="宋体" w:cs="宋体"/>
                <w:sz w:val="24"/>
                <w:szCs w:val="24"/>
                <w:highlight w:val="none"/>
                <w:lang w:val="en-US" w:eastAsia="zh-CN"/>
              </w:rPr>
              <w:t>9</w:t>
            </w:r>
            <w:r>
              <w:rPr>
                <w:rFonts w:hint="eastAsia" w:ascii="宋体" w:hAnsi="宋体" w:cs="宋体"/>
                <w:sz w:val="24"/>
                <w:szCs w:val="24"/>
                <w:highlight w:val="none"/>
              </w:rPr>
              <w:t>分；方案基本完整、较为科学合理，基本满足采购人实际需求的得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分；方案完整性、合理性、针对性、可行性较差，与采购人实际需求存在较大差距的得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分，不提供不得分。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8CBCFFD">
            <w:pPr>
              <w:widowControl/>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r>
      <w:tr w14:paraId="4CC3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vMerge w:val="continue"/>
            <w:tcBorders>
              <w:left w:val="single" w:color="auto" w:sz="4" w:space="0"/>
              <w:right w:val="single" w:color="auto" w:sz="4" w:space="0"/>
            </w:tcBorders>
            <w:noWrap w:val="0"/>
            <w:vAlign w:val="center"/>
          </w:tcPr>
          <w:p w14:paraId="16299DFB">
            <w:pPr>
              <w:widowControl/>
              <w:adjustRightInd w:val="0"/>
              <w:snapToGrid w:val="0"/>
              <w:spacing w:line="360" w:lineRule="auto"/>
              <w:jc w:val="center"/>
              <w:rPr>
                <w:rFonts w:hint="eastAsia" w:ascii="宋体" w:hAnsi="宋体" w:cs="宋体"/>
                <w:bCs/>
                <w:sz w:val="24"/>
                <w:szCs w:val="24"/>
                <w:highlight w:val="none"/>
                <w:lang w:val="en-US" w:eastAsia="zh-CN"/>
              </w:rPr>
            </w:pPr>
          </w:p>
        </w:tc>
        <w:tc>
          <w:tcPr>
            <w:tcW w:w="1430" w:type="dxa"/>
            <w:vMerge w:val="continue"/>
            <w:tcBorders>
              <w:left w:val="single" w:color="auto" w:sz="4" w:space="0"/>
              <w:right w:val="single" w:color="auto" w:sz="4" w:space="0"/>
            </w:tcBorders>
            <w:noWrap w:val="0"/>
            <w:vAlign w:val="center"/>
          </w:tcPr>
          <w:p w14:paraId="6450E649">
            <w:pPr>
              <w:widowControl/>
              <w:adjustRightInd w:val="0"/>
              <w:snapToGrid w:val="0"/>
              <w:spacing w:line="360" w:lineRule="auto"/>
              <w:jc w:val="center"/>
              <w:rPr>
                <w:rFonts w:hint="eastAsia" w:ascii="宋体" w:hAnsi="宋体" w:cs="宋体"/>
                <w:bCs/>
                <w:sz w:val="24"/>
                <w:szCs w:val="24"/>
                <w:highlight w:val="none"/>
              </w:rPr>
            </w:pPr>
          </w:p>
        </w:tc>
        <w:tc>
          <w:tcPr>
            <w:tcW w:w="7308" w:type="dxa"/>
            <w:tcBorders>
              <w:top w:val="single" w:color="auto" w:sz="4" w:space="0"/>
              <w:left w:val="single" w:color="auto" w:sz="4" w:space="0"/>
              <w:bottom w:val="single" w:color="auto" w:sz="4" w:space="0"/>
              <w:right w:val="single" w:color="auto" w:sz="4" w:space="0"/>
            </w:tcBorders>
            <w:noWrap w:val="0"/>
            <w:vAlign w:val="center"/>
          </w:tcPr>
          <w:p w14:paraId="2C544D54">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2、应急方案：</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p w14:paraId="59874AB1">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供应商拟定项目服务过程中可能发生的问题，提供有效可行的应急方案，以保障正常运行。方案完整详实、科学合理、具备针对性且切实可行、满足采购人实际需求的得</w:t>
            </w:r>
            <w:r>
              <w:rPr>
                <w:rFonts w:hint="eastAsia" w:ascii="宋体" w:hAnsi="宋体" w:cs="宋体"/>
                <w:sz w:val="24"/>
                <w:szCs w:val="24"/>
                <w:highlight w:val="none"/>
                <w:lang w:val="en-US" w:eastAsia="zh-CN"/>
              </w:rPr>
              <w:t>9</w:t>
            </w:r>
            <w:r>
              <w:rPr>
                <w:rFonts w:hint="eastAsia" w:ascii="宋体" w:hAnsi="宋体" w:cs="宋体"/>
                <w:sz w:val="24"/>
                <w:szCs w:val="24"/>
                <w:highlight w:val="none"/>
              </w:rPr>
              <w:t>分；方案基本完整、较为科学合理，基本满足采购人实际需求的得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分；方案完整性、合理性、针对性、可行性较差，与采购人实际需求存在较大差距的得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分，不提供不得分。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E8CDF2B">
            <w:pPr>
              <w:widowControl/>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r>
      <w:tr w14:paraId="1C01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vMerge w:val="continue"/>
            <w:tcBorders>
              <w:left w:val="single" w:color="auto" w:sz="4" w:space="0"/>
              <w:right w:val="single" w:color="auto" w:sz="4" w:space="0"/>
            </w:tcBorders>
            <w:noWrap w:val="0"/>
            <w:vAlign w:val="center"/>
          </w:tcPr>
          <w:p w14:paraId="62D90161">
            <w:pPr>
              <w:widowControl/>
              <w:adjustRightInd w:val="0"/>
              <w:snapToGrid w:val="0"/>
              <w:spacing w:line="360" w:lineRule="auto"/>
              <w:jc w:val="center"/>
              <w:rPr>
                <w:rFonts w:hint="eastAsia" w:ascii="宋体" w:hAnsi="宋体" w:cs="宋体"/>
                <w:bCs/>
                <w:sz w:val="24"/>
                <w:szCs w:val="24"/>
                <w:highlight w:val="none"/>
                <w:lang w:val="en-US" w:eastAsia="zh-CN"/>
              </w:rPr>
            </w:pPr>
          </w:p>
        </w:tc>
        <w:tc>
          <w:tcPr>
            <w:tcW w:w="1430" w:type="dxa"/>
            <w:vMerge w:val="continue"/>
            <w:tcBorders>
              <w:left w:val="single" w:color="auto" w:sz="4" w:space="0"/>
              <w:right w:val="single" w:color="auto" w:sz="4" w:space="0"/>
            </w:tcBorders>
            <w:noWrap w:val="0"/>
            <w:vAlign w:val="center"/>
          </w:tcPr>
          <w:p w14:paraId="38771D89">
            <w:pPr>
              <w:widowControl/>
              <w:adjustRightInd w:val="0"/>
              <w:snapToGrid w:val="0"/>
              <w:spacing w:line="360" w:lineRule="auto"/>
              <w:jc w:val="center"/>
              <w:rPr>
                <w:rFonts w:hint="eastAsia" w:ascii="宋体" w:hAnsi="宋体" w:cs="宋体"/>
                <w:bCs/>
                <w:sz w:val="24"/>
                <w:szCs w:val="24"/>
                <w:highlight w:val="none"/>
              </w:rPr>
            </w:pPr>
          </w:p>
        </w:tc>
        <w:tc>
          <w:tcPr>
            <w:tcW w:w="7308" w:type="dxa"/>
            <w:tcBorders>
              <w:top w:val="single" w:color="auto" w:sz="4" w:space="0"/>
              <w:left w:val="single" w:color="auto" w:sz="4" w:space="0"/>
              <w:bottom w:val="single" w:color="auto" w:sz="4" w:space="0"/>
              <w:right w:val="single" w:color="auto" w:sz="4" w:space="0"/>
            </w:tcBorders>
            <w:noWrap w:val="0"/>
            <w:vAlign w:val="center"/>
          </w:tcPr>
          <w:p w14:paraId="27FA1CED">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3、人员配备方案：</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p w14:paraId="19424F8B">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供应商根据项目维保方案，提供相对应的人员分配，人员管理等方案。方案完整详实、科学合理、具备针对性且切实可行、满足采购人实际需求的得</w:t>
            </w:r>
            <w:r>
              <w:rPr>
                <w:rFonts w:hint="eastAsia" w:ascii="宋体" w:hAnsi="宋体" w:cs="宋体"/>
                <w:sz w:val="24"/>
                <w:szCs w:val="24"/>
                <w:highlight w:val="none"/>
                <w:lang w:val="en-US" w:eastAsia="zh-CN"/>
              </w:rPr>
              <w:t>9</w:t>
            </w:r>
            <w:r>
              <w:rPr>
                <w:rFonts w:hint="eastAsia" w:ascii="宋体" w:hAnsi="宋体" w:cs="宋体"/>
                <w:sz w:val="24"/>
                <w:szCs w:val="24"/>
                <w:highlight w:val="none"/>
              </w:rPr>
              <w:t>分；方案基本完整、较为科学合理，基本满足采购人实际需求的得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分；方案完整性、合理性、针对性、可行性较差，与采购人实际需求存在较大差距的得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分，不提供不得分。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9B7AE8E">
            <w:pPr>
              <w:widowControl/>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r>
      <w:tr w14:paraId="040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36516BB9">
            <w:pPr>
              <w:widowControl/>
              <w:adjustRightInd w:val="0"/>
              <w:snapToGrid w:val="0"/>
              <w:spacing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9E9EB36">
            <w:pPr>
              <w:widowControl/>
              <w:adjustRightInd w:val="0"/>
              <w:snapToGrid w:val="0"/>
              <w:spacing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企业资质（3分）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1074E546">
            <w:pPr>
              <w:widowControl/>
              <w:numPr>
                <w:ilvl w:val="0"/>
                <w:numId w:val="0"/>
              </w:numPr>
              <w:adjustRightInd w:val="0"/>
              <w:snapToGrid w:val="0"/>
              <w:spacing w:line="360" w:lineRule="auto"/>
              <w:jc w:val="left"/>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供应商：具有</w:t>
            </w:r>
            <w:r>
              <w:rPr>
                <w:rFonts w:hint="eastAsia" w:ascii="宋体" w:hAnsi="宋体" w:eastAsia="宋体" w:cs="宋体"/>
                <w:kern w:val="2"/>
                <w:sz w:val="24"/>
                <w:szCs w:val="24"/>
                <w:highlight w:val="none"/>
                <w:lang w:val="en-US" w:eastAsia="zh-CN" w:bidi="ar-SA"/>
              </w:rPr>
              <w:t>医用中心供氧装置</w:t>
            </w:r>
            <w:r>
              <w:rPr>
                <w:rFonts w:hint="eastAsia" w:ascii="宋体" w:hAnsi="宋体" w:cs="宋体"/>
                <w:kern w:val="2"/>
                <w:sz w:val="24"/>
                <w:szCs w:val="24"/>
                <w:highlight w:val="none"/>
                <w:lang w:val="en-US" w:eastAsia="zh-CN" w:bidi="ar-SA"/>
              </w:rPr>
              <w:t>注册证的、</w:t>
            </w:r>
            <w:r>
              <w:rPr>
                <w:rFonts w:hint="eastAsia" w:ascii="宋体" w:hAnsi="宋体" w:eastAsia="宋体" w:cs="宋体"/>
                <w:kern w:val="2"/>
                <w:sz w:val="24"/>
                <w:szCs w:val="24"/>
                <w:highlight w:val="none"/>
                <w:lang w:val="en-US" w:eastAsia="zh-CN" w:bidi="ar-SA"/>
              </w:rPr>
              <w:t>医用中心吸引装置</w:t>
            </w:r>
            <w:r>
              <w:rPr>
                <w:rFonts w:hint="eastAsia" w:ascii="宋体" w:hAnsi="宋体" w:cs="宋体"/>
                <w:kern w:val="2"/>
                <w:sz w:val="24"/>
                <w:szCs w:val="24"/>
                <w:highlight w:val="none"/>
                <w:lang w:val="en-US" w:eastAsia="zh-CN" w:bidi="ar-SA"/>
              </w:rPr>
              <w:t>注册证的，每提供一个得1.5分，满分3分。</w:t>
            </w:r>
            <w:r>
              <w:rPr>
                <w:rFonts w:hint="eastAsia" w:ascii="宋体"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提供有效期内的证书并加盖公章）</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5B38C5C">
            <w:pPr>
              <w:widowControl/>
              <w:adjustRightInd w:val="0"/>
              <w:snapToGrid w:val="0"/>
              <w:spacing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3</w:t>
            </w:r>
          </w:p>
        </w:tc>
      </w:tr>
      <w:tr w14:paraId="723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2F8BCB10">
            <w:pPr>
              <w:widowControl/>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361CA4B">
            <w:pPr>
              <w:widowControl/>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在有效期内的体系认证情况</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3分</w:t>
            </w:r>
            <w:r>
              <w:rPr>
                <w:rFonts w:hint="eastAsia" w:ascii="宋体" w:hAnsi="宋体" w:cs="宋体"/>
                <w:bCs/>
                <w:sz w:val="24"/>
                <w:szCs w:val="24"/>
                <w:highlight w:val="none"/>
                <w:lang w:eastAsia="zh-CN"/>
              </w:rPr>
              <w:t>）</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7C5F18DF">
            <w:pPr>
              <w:widowControl/>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供应商具有质量、环境、职业健康安全管理体系认证证书，每提供一个认证证书，得1分，满分为3分。</w:t>
            </w:r>
            <w:r>
              <w:rPr>
                <w:rFonts w:hint="eastAsia" w:ascii="宋体" w:hAnsi="宋体" w:eastAsia="宋体" w:cs="宋体"/>
                <w:b/>
                <w:bCs/>
                <w:kern w:val="2"/>
                <w:sz w:val="24"/>
                <w:szCs w:val="24"/>
                <w:highlight w:val="none"/>
                <w:lang w:val="en-US" w:eastAsia="zh-CN" w:bidi="ar-SA"/>
              </w:rPr>
              <w:t>（提供有效期内的证书并加盖公章）</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3C570DC">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r>
      <w:tr w14:paraId="7B93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148D3745">
            <w:pPr>
              <w:widowControl/>
              <w:adjustRightInd w:val="0"/>
              <w:snapToGrid w:val="0"/>
              <w:spacing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6</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11C9DAD">
            <w:pPr>
              <w:widowControl/>
              <w:adjustRightInd w:val="0"/>
              <w:snapToGrid w:val="0"/>
              <w:spacing w:line="360" w:lineRule="auto"/>
              <w:jc w:val="center"/>
              <w:rPr>
                <w:rFonts w:hint="eastAsia" w:ascii="宋体" w:hAnsi="宋体" w:cs="宋体"/>
                <w:bCs/>
                <w:sz w:val="24"/>
                <w:szCs w:val="24"/>
                <w:highlight w:val="none"/>
                <w:lang w:eastAsia="zh-CN"/>
              </w:rPr>
            </w:pPr>
            <w:r>
              <w:rPr>
                <w:rFonts w:hint="eastAsia" w:ascii="宋体" w:hAnsi="宋体" w:eastAsia="宋体" w:cs="宋体"/>
                <w:bCs/>
                <w:sz w:val="24"/>
                <w:szCs w:val="24"/>
                <w:highlight w:val="none"/>
              </w:rPr>
              <w:t>拟投入本项目的人员</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4分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 </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2C6C6643">
            <w:pPr>
              <w:widowControl/>
              <w:numPr>
                <w:ilvl w:val="0"/>
                <w:numId w:val="0"/>
              </w:numPr>
              <w:spacing w:line="360" w:lineRule="auto"/>
              <w:ind w:firstLine="240" w:firstLineChars="100"/>
              <w:outlineLvl w:val="5"/>
              <w:rPr>
                <w:rFonts w:hint="eastAsia" w:ascii="宋体" w:hAnsi="宋体" w:cs="宋体"/>
                <w:b w:val="0"/>
                <w:bCs/>
                <w:color w:val="000000"/>
                <w:sz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24"/>
                <w:highlight w:val="none"/>
                <w:u w:val="none"/>
              </w:rPr>
              <w:t>拟投入本项目的人员</w:t>
            </w:r>
            <w:r>
              <w:rPr>
                <w:rFonts w:hint="eastAsia" w:ascii="宋体" w:hAnsi="宋体" w:cs="宋体"/>
                <w:b w:val="0"/>
                <w:bCs/>
                <w:color w:val="000000"/>
                <w:sz w:val="24"/>
                <w:highlight w:val="none"/>
                <w:u w:val="none"/>
              </w:rPr>
              <w:t>具备特种设备安全管理人员证（A）</w:t>
            </w:r>
            <w:r>
              <w:rPr>
                <w:rFonts w:hint="eastAsia" w:ascii="宋体" w:hAnsi="宋体" w:cs="宋体"/>
                <w:b w:val="0"/>
                <w:bCs/>
                <w:color w:val="000000"/>
                <w:sz w:val="24"/>
                <w:highlight w:val="none"/>
                <w:u w:val="none"/>
                <w:lang w:val="en-US" w:eastAsia="zh-CN"/>
              </w:rPr>
              <w:t>的</w:t>
            </w:r>
            <w:r>
              <w:rPr>
                <w:rFonts w:hint="eastAsia" w:ascii="宋体" w:hAnsi="宋体" w:cs="宋体"/>
                <w:b w:val="0"/>
                <w:bCs/>
                <w:color w:val="000000"/>
                <w:sz w:val="24"/>
                <w:highlight w:val="none"/>
                <w:u w:val="none"/>
              </w:rPr>
              <w:t>，</w:t>
            </w:r>
            <w:r>
              <w:rPr>
                <w:rFonts w:hint="eastAsia" w:ascii="宋体" w:hAnsi="宋体" w:cs="宋体"/>
                <w:b w:val="0"/>
                <w:bCs/>
                <w:color w:val="000000"/>
                <w:sz w:val="24"/>
                <w:highlight w:val="none"/>
                <w:u w:val="none"/>
                <w:lang w:val="en-US" w:eastAsia="zh-CN"/>
              </w:rPr>
              <w:t>得2分，满分2分。</w:t>
            </w:r>
          </w:p>
          <w:p w14:paraId="2B0C27AD">
            <w:pPr>
              <w:widowControl/>
              <w:numPr>
                <w:ilvl w:val="0"/>
                <w:numId w:val="0"/>
              </w:numPr>
              <w:spacing w:line="360" w:lineRule="auto"/>
              <w:ind w:firstLine="240" w:firstLineChars="100"/>
              <w:outlineLvl w:val="5"/>
              <w:rPr>
                <w:rFonts w:hint="default" w:ascii="宋体" w:hAnsi="宋体" w:eastAsia="宋体" w:cs="宋体"/>
                <w:b w:val="0"/>
                <w:bCs/>
                <w:color w:val="000000"/>
                <w:sz w:val="24"/>
                <w:highlight w:val="none"/>
                <w:u w:val="none"/>
                <w:lang w:val="en-US" w:eastAsia="zh-CN"/>
              </w:rPr>
            </w:pPr>
            <w:r>
              <w:rPr>
                <w:rFonts w:hint="eastAsia" w:ascii="宋体" w:hAnsi="宋体" w:eastAsia="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rPr>
              <w:t>拟投入本项目的人员</w:t>
            </w:r>
            <w:r>
              <w:rPr>
                <w:rFonts w:hint="eastAsia" w:ascii="宋体" w:hAnsi="宋体" w:cs="宋体"/>
                <w:b w:val="0"/>
                <w:bCs/>
                <w:color w:val="000000"/>
                <w:sz w:val="24"/>
                <w:highlight w:val="none"/>
                <w:u w:val="none"/>
              </w:rPr>
              <w:t>具备特种设备作业人员证（R1），相关证书需在有效期内</w:t>
            </w:r>
            <w:r>
              <w:rPr>
                <w:rFonts w:hint="eastAsia" w:ascii="宋体" w:hAnsi="宋体" w:cs="宋体"/>
                <w:b w:val="0"/>
                <w:bCs/>
                <w:color w:val="000000"/>
                <w:sz w:val="24"/>
                <w:highlight w:val="none"/>
                <w:u w:val="none"/>
                <w:lang w:eastAsia="zh-CN"/>
              </w:rPr>
              <w:t>，</w:t>
            </w:r>
            <w:r>
              <w:rPr>
                <w:rFonts w:hint="eastAsia" w:ascii="宋体" w:hAnsi="宋体" w:cs="宋体"/>
                <w:b w:val="0"/>
                <w:bCs/>
                <w:color w:val="000000"/>
                <w:sz w:val="24"/>
                <w:highlight w:val="none"/>
                <w:u w:val="none"/>
                <w:lang w:val="en-US" w:eastAsia="zh-CN"/>
              </w:rPr>
              <w:t>得2分，满分2分。</w:t>
            </w:r>
          </w:p>
          <w:p w14:paraId="0AC928F6">
            <w:pPr>
              <w:widowControl/>
              <w:numPr>
                <w:ilvl w:val="0"/>
                <w:numId w:val="0"/>
              </w:numPr>
              <w:spacing w:line="360" w:lineRule="auto"/>
              <w:ind w:firstLine="240" w:firstLineChars="100"/>
              <w:outlineLvl w:val="5"/>
              <w:rPr>
                <w:rFonts w:hint="eastAsia" w:ascii="宋体" w:hAnsi="宋体" w:eastAsia="宋体" w:cs="宋体"/>
                <w:kern w:val="2"/>
                <w:sz w:val="24"/>
                <w:szCs w:val="24"/>
                <w:highlight w:val="none"/>
                <w:lang w:val="en-US" w:eastAsia="zh-CN" w:bidi="ar-SA"/>
              </w:rPr>
            </w:pPr>
            <w:r>
              <w:rPr>
                <w:rFonts w:hint="eastAsia" w:ascii="宋体" w:hAnsi="宋体" w:cs="宋体"/>
                <w:b w:val="0"/>
                <w:bCs/>
                <w:color w:val="000000"/>
                <w:sz w:val="24"/>
                <w:highlight w:val="none"/>
                <w:u w:val="none"/>
                <w:lang w:val="en-US" w:eastAsia="zh-CN"/>
              </w:rPr>
              <w:t>注：</w:t>
            </w:r>
            <w:r>
              <w:rPr>
                <w:rFonts w:hint="eastAsia" w:ascii="宋体" w:hAnsi="宋体" w:cs="宋体"/>
                <w:b/>
                <w:bCs w:val="0"/>
                <w:color w:val="000000"/>
                <w:sz w:val="24"/>
                <w:highlight w:val="none"/>
                <w:u w:val="none"/>
              </w:rPr>
              <w:t>（提供</w:t>
            </w:r>
            <w:r>
              <w:rPr>
                <w:rFonts w:hint="eastAsia" w:ascii="宋体" w:hAnsi="宋体" w:eastAsia="宋体" w:cs="宋体"/>
                <w:b/>
                <w:bCs/>
                <w:kern w:val="2"/>
                <w:sz w:val="24"/>
                <w:szCs w:val="24"/>
                <w:highlight w:val="none"/>
                <w:lang w:val="en-US" w:eastAsia="zh-CN" w:bidi="ar-SA"/>
              </w:rPr>
              <w:t>有效期内</w:t>
            </w:r>
            <w:r>
              <w:rPr>
                <w:rFonts w:hint="eastAsia" w:ascii="宋体" w:hAnsi="宋体" w:cs="宋体"/>
                <w:b/>
                <w:bCs w:val="0"/>
                <w:color w:val="000000"/>
                <w:sz w:val="24"/>
                <w:highlight w:val="none"/>
                <w:u w:val="none"/>
              </w:rPr>
              <w:t>特种设备安全管理人员证和特种设备作业人员证书</w:t>
            </w:r>
            <w:r>
              <w:rPr>
                <w:rFonts w:hint="eastAsia" w:ascii="宋体" w:hAnsi="宋体" w:cs="宋体"/>
                <w:b/>
                <w:bCs w:val="0"/>
                <w:color w:val="000000"/>
                <w:sz w:val="24"/>
                <w:highlight w:val="none"/>
                <w:u w:val="none"/>
                <w:lang w:val="en-US" w:eastAsia="zh-CN"/>
              </w:rPr>
              <w:t>并加盖公章</w:t>
            </w:r>
            <w:r>
              <w:rPr>
                <w:rFonts w:hint="eastAsia" w:ascii="宋体" w:hAnsi="宋体" w:cs="宋体"/>
                <w:b/>
                <w:bCs w:val="0"/>
                <w:color w:val="000000"/>
                <w:sz w:val="24"/>
                <w:highlight w:val="none"/>
                <w:u w:val="none"/>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30BE90D">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r>
      <w:tr w14:paraId="5A1B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4B0796C">
            <w:pPr>
              <w:widowControl/>
              <w:adjustRightInd w:val="0"/>
              <w:snapToGrid w:val="0"/>
              <w:spacing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7</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6CCF9A4">
            <w:pPr>
              <w:widowControl/>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lang w:val="en-US" w:eastAsia="zh-CN"/>
              </w:rPr>
              <w:t>应急</w:t>
            </w:r>
            <w:r>
              <w:rPr>
                <w:rFonts w:hint="eastAsia" w:ascii="宋体" w:hAnsi="宋体" w:eastAsia="宋体" w:cs="宋体"/>
                <w:bCs/>
                <w:sz w:val="24"/>
                <w:szCs w:val="24"/>
                <w:highlight w:val="none"/>
                <w:lang w:val="en-US" w:eastAsia="zh-CN"/>
              </w:rPr>
              <w:t>服务响应时间（3分）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69B9F9F6">
            <w:pPr>
              <w:widowControl/>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u w:val="none"/>
                <w:lang w:val="en-US" w:eastAsia="zh-CN"/>
              </w:rPr>
              <w:t>承诺在管理设备和系统出现故障后30分钟内响应：1小时内到达现场的，得3分，2小时内到达现场的，得2分，3小时内到达现场的，得1分，满分3分。</w:t>
            </w:r>
            <w:r>
              <w:rPr>
                <w:rFonts w:hint="eastAsia" w:ascii="宋体" w:hAnsi="宋体" w:eastAsia="宋体" w:cs="宋体"/>
                <w:b/>
                <w:bCs w:val="0"/>
                <w:sz w:val="24"/>
                <w:szCs w:val="24"/>
                <w:highlight w:val="none"/>
                <w:u w:val="none"/>
                <w:lang w:val="en-US" w:eastAsia="zh-CN"/>
              </w:rPr>
              <w:t>（提供承诺函原件并加盖公章）</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7DA0ECD">
            <w:pPr>
              <w:widowControl/>
              <w:adjustRightInd w:val="0"/>
              <w:snapToGrid w:val="0"/>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r>
      <w:tr w14:paraId="513C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FA650C4">
            <w:pPr>
              <w:widowControl/>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8</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CC66765">
            <w:pPr>
              <w:widowControl/>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业绩</w:t>
            </w:r>
          </w:p>
          <w:p w14:paraId="2660EF68">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(10分)</w:t>
            </w:r>
          </w:p>
        </w:tc>
        <w:tc>
          <w:tcPr>
            <w:tcW w:w="7308" w:type="dxa"/>
            <w:tcBorders>
              <w:top w:val="single" w:color="auto" w:sz="4" w:space="0"/>
              <w:left w:val="single" w:color="auto" w:sz="4" w:space="0"/>
              <w:bottom w:val="single" w:color="auto" w:sz="4" w:space="0"/>
              <w:right w:val="single" w:color="auto" w:sz="4" w:space="0"/>
            </w:tcBorders>
            <w:noWrap w:val="0"/>
            <w:vAlign w:val="center"/>
          </w:tcPr>
          <w:p w14:paraId="0EBB4E88">
            <w:pPr>
              <w:widowControl/>
              <w:adjustRightInd w:val="0"/>
              <w:snapToGrid w:val="0"/>
              <w:spacing w:line="360" w:lineRule="auto"/>
              <w:jc w:val="left"/>
              <w:rPr>
                <w:rFonts w:hint="eastAsia" w:ascii="宋体" w:hAnsi="宋体" w:cs="宋体"/>
                <w:bCs/>
                <w:sz w:val="24"/>
                <w:szCs w:val="24"/>
                <w:highlight w:val="none"/>
              </w:rPr>
            </w:pPr>
            <w:r>
              <w:rPr>
                <w:rFonts w:hint="eastAsia" w:ascii="宋体" w:hAnsi="宋体" w:eastAsia="宋体" w:cs="宋体"/>
                <w:kern w:val="2"/>
                <w:sz w:val="24"/>
                <w:szCs w:val="24"/>
                <w:highlight w:val="none"/>
                <w:lang w:val="en-US" w:eastAsia="zh-CN" w:bidi="ar-SA"/>
              </w:rPr>
              <w:t>供应商自2021年1月1日以来（以合同签订时间为准），有类似项目业绩，每提</w:t>
            </w:r>
            <w:r>
              <w:rPr>
                <w:rFonts w:hint="eastAsia" w:ascii="宋体" w:hAnsi="宋体" w:cs="宋体"/>
                <w:bCs/>
                <w:sz w:val="24"/>
                <w:szCs w:val="24"/>
                <w:highlight w:val="none"/>
              </w:rPr>
              <w:t>供1份得2分，满分10分。</w:t>
            </w:r>
            <w:r>
              <w:rPr>
                <w:rFonts w:hint="eastAsia" w:ascii="宋体" w:hAnsi="宋体" w:cs="宋体"/>
                <w:b/>
                <w:bCs w:val="0"/>
                <w:sz w:val="24"/>
                <w:szCs w:val="24"/>
                <w:highlight w:val="none"/>
              </w:rPr>
              <w:t>（需提供合同复印件，不提供不得分）</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838CAC6">
            <w:pPr>
              <w:widowControl/>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10</w:t>
            </w:r>
          </w:p>
        </w:tc>
      </w:tr>
    </w:tbl>
    <w:p w14:paraId="3056EE46">
      <w:pPr>
        <w:pStyle w:val="20"/>
        <w:pageBreakBefore w:val="0"/>
        <w:overflowPunct/>
        <w:topLinePunct w:val="0"/>
        <w:bidi w:val="0"/>
        <w:spacing w:before="0" w:after="0"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2"/>
          <w:sz w:val="24"/>
          <w:szCs w:val="24"/>
        </w:rPr>
        <w:t>1、为便于评分，请供应商按评分表样式，逐条列出证明材料所在页码，格式自定</w:t>
      </w:r>
      <w:r>
        <w:rPr>
          <w:rFonts w:hint="eastAsia" w:asciiTheme="majorEastAsia" w:hAnsiTheme="majorEastAsia" w:eastAsiaTheme="majorEastAsia" w:cstheme="majorEastAsia"/>
          <w:b/>
          <w:sz w:val="24"/>
          <w:szCs w:val="24"/>
        </w:rPr>
        <w:t>。</w:t>
      </w:r>
    </w:p>
    <w:p w14:paraId="6E406164">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bookmarkStart w:id="164" w:name="_Toc515613289"/>
    </w:p>
    <w:p w14:paraId="2A4DB7E2">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64A3B339">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4041B57D">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52FB975C">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66D0B0CF">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10A0B07E">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039DBE2C">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013F25D0">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1D59048C">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398D2E10">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471A56D7">
      <w:pPr>
        <w:pageBreakBefore w:val="0"/>
        <w:tabs>
          <w:tab w:val="left" w:pos="1560"/>
        </w:tabs>
        <w:overflowPunct/>
        <w:topLinePunct w:val="0"/>
        <w:bidi w:val="0"/>
        <w:spacing w:line="360" w:lineRule="auto"/>
        <w:rPr>
          <w:rFonts w:hint="eastAsia" w:asciiTheme="majorEastAsia" w:hAnsiTheme="majorEastAsia" w:eastAsiaTheme="majorEastAsia" w:cstheme="majorEastAsia"/>
          <w:sz w:val="24"/>
          <w:szCs w:val="24"/>
        </w:rPr>
      </w:pPr>
    </w:p>
    <w:p w14:paraId="3A8CC02D">
      <w:pPr>
        <w:pStyle w:val="2"/>
        <w:bidi w:val="0"/>
        <w:rPr>
          <w:rFonts w:hint="eastAsia"/>
        </w:rPr>
      </w:pPr>
      <w:r>
        <w:rPr>
          <w:rFonts w:hint="eastAsia"/>
        </w:rPr>
        <w:t>第六章 竞争性磋商响应文件格式</w:t>
      </w:r>
      <w:bookmarkEnd w:id="164"/>
    </w:p>
    <w:p w14:paraId="156EA877">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35C2A48F">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60B08B31">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7433E3E2">
      <w:pPr>
        <w:pStyle w:val="3"/>
        <w:keepNext w:val="0"/>
        <w:keepLines w:val="0"/>
        <w:pageBreakBefore w:val="0"/>
        <w:overflowPunct/>
        <w:topLinePunct w:val="0"/>
        <w:bidi w:val="0"/>
        <w:spacing w:line="360" w:lineRule="auto"/>
        <w:jc w:val="center"/>
        <w:rPr>
          <w:rFonts w:hint="eastAsia" w:asciiTheme="majorEastAsia" w:hAnsiTheme="majorEastAsia" w:eastAsiaTheme="majorEastAsia" w:cstheme="majorEastAsia"/>
          <w:bCs w:val="0"/>
          <w:sz w:val="24"/>
          <w:szCs w:val="24"/>
        </w:rPr>
      </w:pPr>
      <w:bookmarkStart w:id="165" w:name="_Toc515613290"/>
      <w:r>
        <w:rPr>
          <w:rFonts w:hint="eastAsia" w:asciiTheme="majorEastAsia" w:hAnsiTheme="majorEastAsia" w:eastAsiaTheme="majorEastAsia" w:cstheme="majorEastAsia"/>
          <w:bCs w:val="0"/>
          <w:sz w:val="24"/>
          <w:szCs w:val="24"/>
        </w:rPr>
        <w:t>竞争性磋商响应文件</w:t>
      </w:r>
      <w:bookmarkEnd w:id="165"/>
    </w:p>
    <w:p w14:paraId="5732C70B">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08E64165">
      <w:pPr>
        <w:pStyle w:val="3"/>
        <w:keepNext w:val="0"/>
        <w:keepLines w:val="0"/>
        <w:pageBreakBefore w:val="0"/>
        <w:overflowPunct/>
        <w:topLinePunct w:val="0"/>
        <w:bidi w:val="0"/>
        <w:spacing w:line="360" w:lineRule="auto"/>
        <w:ind w:left="2940" w:leftChars="0" w:firstLine="420" w:firstLineChars="0"/>
        <w:rPr>
          <w:rFonts w:hint="eastAsia" w:asciiTheme="majorEastAsia" w:hAnsiTheme="majorEastAsia" w:eastAsiaTheme="majorEastAsia" w:cstheme="majorEastAsia"/>
          <w:bCs w:val="0"/>
          <w:sz w:val="24"/>
          <w:szCs w:val="24"/>
        </w:rPr>
      </w:pPr>
      <w:bookmarkStart w:id="166" w:name="_Toc515613291"/>
      <w:r>
        <w:rPr>
          <w:rFonts w:hint="eastAsia" w:asciiTheme="majorEastAsia" w:hAnsiTheme="majorEastAsia" w:eastAsiaTheme="majorEastAsia" w:cstheme="majorEastAsia"/>
          <w:bCs w:val="0"/>
          <w:sz w:val="24"/>
          <w:szCs w:val="24"/>
        </w:rPr>
        <w:t>（正或副本）</w:t>
      </w:r>
      <w:bookmarkEnd w:id="166"/>
    </w:p>
    <w:p w14:paraId="032DAF3B">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7A062598">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03C7722A">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16959B6A">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677D88A6">
      <w:pPr>
        <w:pageBreakBefore w:val="0"/>
        <w:overflowPunct/>
        <w:topLinePunct w:val="0"/>
        <w:bidi w:val="0"/>
        <w:spacing w:line="360" w:lineRule="auto"/>
        <w:ind w:left="2940" w:leftChars="0" w:firstLine="420" w:firstLineChars="0"/>
        <w:jc w:val="center"/>
        <w:rPr>
          <w:rFonts w:hint="eastAsia" w:asciiTheme="majorEastAsia" w:hAnsiTheme="majorEastAsia" w:eastAsiaTheme="majorEastAsia" w:cstheme="majorEastAsia"/>
          <w:b/>
          <w:sz w:val="24"/>
          <w:szCs w:val="24"/>
        </w:rPr>
      </w:pPr>
    </w:p>
    <w:p w14:paraId="47B6818A">
      <w:pPr>
        <w:pageBreakBefore w:val="0"/>
        <w:overflowPunct/>
        <w:topLinePunct w:val="0"/>
        <w:bidi w:val="0"/>
        <w:spacing w:line="360" w:lineRule="auto"/>
        <w:ind w:left="4620" w:leftChars="0" w:firstLine="420" w:firstLineChars="0"/>
        <w:jc w:val="center"/>
        <w:rPr>
          <w:rFonts w:hint="eastAsia" w:asciiTheme="majorEastAsia" w:hAnsiTheme="majorEastAsia" w:eastAsiaTheme="majorEastAsia" w:cstheme="majorEastAsia"/>
          <w:b/>
          <w:sz w:val="32"/>
          <w:szCs w:val="32"/>
        </w:rPr>
      </w:pPr>
    </w:p>
    <w:p w14:paraId="03EC0ED6">
      <w:pPr>
        <w:pageBreakBefore w:val="0"/>
        <w:overflowPunct/>
        <w:topLinePunct w:val="0"/>
        <w:bidi w:val="0"/>
        <w:spacing w:line="360" w:lineRule="auto"/>
        <w:ind w:left="1260" w:leftChars="0" w:firstLine="420" w:firstLineChars="0"/>
        <w:jc w:val="left"/>
        <w:rPr>
          <w:rFonts w:hint="default" w:asciiTheme="majorEastAsia" w:hAnsiTheme="majorEastAsia" w:eastAsiaTheme="majorEastAsia" w:cstheme="majorEastAsia"/>
          <w:b/>
          <w:sz w:val="32"/>
          <w:szCs w:val="32"/>
          <w:u w:val="single"/>
          <w:lang w:val="en-US" w:eastAsia="zh-CN"/>
        </w:rPr>
      </w:pPr>
      <w:r>
        <w:rPr>
          <w:rFonts w:hint="eastAsia" w:asciiTheme="majorEastAsia" w:hAnsiTheme="majorEastAsia" w:eastAsiaTheme="majorEastAsia" w:cstheme="majorEastAsia"/>
          <w:b/>
          <w:sz w:val="32"/>
          <w:szCs w:val="32"/>
        </w:rPr>
        <w:t>项目编号：</w:t>
      </w:r>
      <w:r>
        <w:rPr>
          <w:rFonts w:hint="eastAsia" w:asciiTheme="majorEastAsia" w:hAnsiTheme="majorEastAsia" w:eastAsiaTheme="majorEastAsia" w:cstheme="majorEastAsia"/>
          <w:b/>
          <w:sz w:val="32"/>
          <w:szCs w:val="32"/>
          <w:u w:val="single"/>
          <w:lang w:val="en-US" w:eastAsia="zh-CN"/>
        </w:rPr>
        <w:t xml:space="preserve">              </w:t>
      </w:r>
    </w:p>
    <w:p w14:paraId="631CA2B1">
      <w:pPr>
        <w:pageBreakBefore w:val="0"/>
        <w:overflowPunct/>
        <w:topLinePunct w:val="0"/>
        <w:bidi w:val="0"/>
        <w:spacing w:line="360" w:lineRule="auto"/>
        <w:ind w:left="1260" w:leftChars="0" w:firstLine="420" w:firstLineChars="0"/>
        <w:rPr>
          <w:rFonts w:hint="default" w:asciiTheme="majorEastAsia" w:hAnsiTheme="majorEastAsia" w:eastAsiaTheme="majorEastAsia" w:cstheme="majorEastAsia"/>
          <w:b/>
          <w:sz w:val="32"/>
          <w:szCs w:val="32"/>
          <w:u w:val="single"/>
          <w:lang w:val="en-US" w:eastAsia="zh-CN"/>
        </w:rPr>
      </w:pPr>
      <w:r>
        <w:rPr>
          <w:rFonts w:hint="eastAsia" w:asciiTheme="majorEastAsia" w:hAnsiTheme="majorEastAsia" w:eastAsiaTheme="majorEastAsia" w:cstheme="majorEastAsia"/>
          <w:b/>
          <w:sz w:val="32"/>
          <w:szCs w:val="32"/>
        </w:rPr>
        <w:t>项 目 名 称：</w:t>
      </w:r>
      <w:r>
        <w:rPr>
          <w:rFonts w:hint="eastAsia" w:asciiTheme="majorEastAsia" w:hAnsiTheme="majorEastAsia" w:eastAsiaTheme="majorEastAsia" w:cstheme="majorEastAsia"/>
          <w:b/>
          <w:sz w:val="32"/>
          <w:szCs w:val="32"/>
          <w:u w:val="single"/>
          <w:lang w:val="en-US" w:eastAsia="zh-CN"/>
        </w:rPr>
        <w:t xml:space="preserve">              </w:t>
      </w:r>
    </w:p>
    <w:p w14:paraId="431E72BA">
      <w:pPr>
        <w:pageBreakBefore w:val="0"/>
        <w:overflowPunct/>
        <w:topLinePunct w:val="0"/>
        <w:bidi w:val="0"/>
        <w:spacing w:line="360" w:lineRule="auto"/>
        <w:ind w:left="1260" w:leftChars="0" w:firstLine="420" w:firstLineChars="0"/>
        <w:rPr>
          <w:rFonts w:hint="default" w:asciiTheme="majorEastAsia" w:hAnsiTheme="majorEastAsia" w:eastAsiaTheme="majorEastAsia" w:cstheme="majorEastAsia"/>
          <w:b/>
          <w:sz w:val="32"/>
          <w:szCs w:val="32"/>
          <w:u w:val="single"/>
          <w:lang w:val="en-US" w:eastAsia="zh-CN"/>
        </w:rPr>
      </w:pPr>
      <w:r>
        <w:rPr>
          <w:rFonts w:hint="eastAsia" w:asciiTheme="majorEastAsia" w:hAnsiTheme="majorEastAsia" w:eastAsiaTheme="majorEastAsia" w:cstheme="majorEastAsia"/>
          <w:b/>
          <w:sz w:val="32"/>
          <w:szCs w:val="32"/>
        </w:rPr>
        <w:t>磋商供应商名称 ：</w:t>
      </w:r>
      <w:r>
        <w:rPr>
          <w:rFonts w:hint="eastAsia" w:asciiTheme="majorEastAsia" w:hAnsiTheme="majorEastAsia" w:eastAsiaTheme="majorEastAsia" w:cstheme="majorEastAsia"/>
          <w:b/>
          <w:sz w:val="32"/>
          <w:szCs w:val="32"/>
          <w:u w:val="single"/>
          <w:lang w:val="en-US" w:eastAsia="zh-CN"/>
        </w:rPr>
        <w:t xml:space="preserve">            </w:t>
      </w:r>
    </w:p>
    <w:p w14:paraId="359C9F50">
      <w:pPr>
        <w:pageBreakBefore w:val="0"/>
        <w:overflowPunct/>
        <w:topLinePunct w:val="0"/>
        <w:bidi w:val="0"/>
        <w:spacing w:line="360" w:lineRule="auto"/>
        <w:ind w:left="1260" w:leftChars="0" w:firstLine="420" w:firstLineChars="0"/>
        <w:rPr>
          <w:rFonts w:hint="default" w:asciiTheme="majorEastAsia" w:hAnsiTheme="majorEastAsia" w:eastAsiaTheme="majorEastAsia" w:cstheme="majorEastAsia"/>
          <w:b/>
          <w:sz w:val="32"/>
          <w:szCs w:val="32"/>
          <w:u w:val="single"/>
          <w:lang w:val="en-US" w:eastAsia="zh-CN"/>
        </w:rPr>
      </w:pPr>
      <w:r>
        <w:rPr>
          <w:rFonts w:hint="eastAsia" w:asciiTheme="majorEastAsia" w:hAnsiTheme="majorEastAsia" w:eastAsiaTheme="majorEastAsia" w:cstheme="majorEastAsia"/>
          <w:b/>
          <w:sz w:val="32"/>
          <w:szCs w:val="32"/>
        </w:rPr>
        <w:t>日      期 ：</w:t>
      </w:r>
      <w:r>
        <w:rPr>
          <w:rFonts w:hint="eastAsia" w:asciiTheme="majorEastAsia" w:hAnsiTheme="majorEastAsia" w:eastAsiaTheme="majorEastAsia" w:cstheme="majorEastAsia"/>
          <w:b/>
          <w:sz w:val="32"/>
          <w:szCs w:val="32"/>
          <w:u w:val="single"/>
          <w:lang w:val="en-US" w:eastAsia="zh-CN"/>
        </w:rPr>
        <w:t xml:space="preserve">                    </w:t>
      </w:r>
    </w:p>
    <w:p w14:paraId="56383A2E">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32"/>
          <w:szCs w:val="32"/>
        </w:rPr>
        <w:br w:type="page"/>
      </w:r>
      <w:r>
        <w:rPr>
          <w:rFonts w:hint="eastAsia" w:asciiTheme="majorEastAsia" w:hAnsiTheme="majorEastAsia" w:eastAsiaTheme="majorEastAsia" w:cstheme="majorEastAsia"/>
          <w:b/>
          <w:sz w:val="24"/>
          <w:szCs w:val="24"/>
        </w:rPr>
        <w:t>评分索引表</w:t>
      </w:r>
    </w:p>
    <w:tbl>
      <w:tblPr>
        <w:tblStyle w:val="15"/>
        <w:tblW w:w="8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5"/>
        <w:gridCol w:w="3126"/>
      </w:tblGrid>
      <w:tr w14:paraId="74A5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965" w:type="dxa"/>
            <w:tcBorders>
              <w:top w:val="single" w:color="auto" w:sz="4" w:space="0"/>
              <w:left w:val="single" w:color="auto" w:sz="4" w:space="0"/>
              <w:bottom w:val="single" w:color="auto" w:sz="4" w:space="0"/>
              <w:right w:val="single" w:color="auto" w:sz="4" w:space="0"/>
            </w:tcBorders>
            <w:noWrap w:val="0"/>
            <w:vAlign w:val="center"/>
          </w:tcPr>
          <w:p w14:paraId="3A3D504E">
            <w:pPr>
              <w:bidi w:val="0"/>
              <w:jc w:val="center"/>
              <w:rPr>
                <w:rFonts w:hint="eastAsia"/>
                <w:b/>
                <w:bCs/>
              </w:rPr>
            </w:pPr>
            <w:r>
              <w:rPr>
                <w:rFonts w:hint="eastAsia"/>
                <w:b/>
                <w:bCs/>
              </w:rPr>
              <w:t>评分项目</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1D5E9B8A">
            <w:pPr>
              <w:bidi w:val="0"/>
              <w:jc w:val="center"/>
              <w:rPr>
                <w:rFonts w:hint="eastAsia"/>
                <w:b/>
                <w:bCs/>
              </w:rPr>
            </w:pPr>
            <w:r>
              <w:rPr>
                <w:rFonts w:hint="eastAsia"/>
                <w:b/>
                <w:bCs/>
              </w:rPr>
              <w:t>在响应文件中的页码位置</w:t>
            </w:r>
          </w:p>
        </w:tc>
      </w:tr>
      <w:tr w14:paraId="2248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62161063">
            <w:pPr>
              <w:pStyle w:val="22"/>
              <w:pageBreakBefore w:val="0"/>
              <w:shd w:val="clear" w:color="auto" w:fill="FFFFFF"/>
              <w:overflowPunct/>
              <w:topLinePunct w:val="0"/>
              <w:bidi w:val="0"/>
              <w:spacing w:line="360" w:lineRule="auto"/>
              <w:ind w:left="420" w:firstLine="422"/>
              <w:rPr>
                <w:rFonts w:hint="eastAsia" w:asciiTheme="majorEastAsia" w:hAnsiTheme="majorEastAsia" w:eastAsiaTheme="majorEastAsia" w:cstheme="majorEastAsia"/>
                <w:b/>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5DA16AD4">
            <w:pPr>
              <w:pageBreakBefore w:val="0"/>
              <w:overflowPunct/>
              <w:topLinePunct w:val="0"/>
              <w:bidi w:val="0"/>
              <w:adjustRightInd w:val="0"/>
              <w:snapToGrid w:val="0"/>
              <w:spacing w:line="360" w:lineRule="auto"/>
              <w:rPr>
                <w:rFonts w:hint="eastAsia" w:asciiTheme="majorEastAsia" w:hAnsiTheme="majorEastAsia" w:eastAsiaTheme="majorEastAsia" w:cstheme="majorEastAsia"/>
                <w:b/>
                <w:sz w:val="24"/>
                <w:szCs w:val="24"/>
                <w:lang w:bidi="en-US"/>
              </w:rPr>
            </w:pPr>
          </w:p>
        </w:tc>
      </w:tr>
      <w:tr w14:paraId="7F2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91" w:type="dxa"/>
            <w:gridSpan w:val="2"/>
            <w:tcBorders>
              <w:top w:val="single" w:color="auto" w:sz="4" w:space="0"/>
              <w:left w:val="single" w:color="auto" w:sz="4" w:space="0"/>
              <w:bottom w:val="single" w:color="auto" w:sz="4" w:space="0"/>
              <w:right w:val="single" w:color="auto" w:sz="4" w:space="0"/>
            </w:tcBorders>
            <w:noWrap w:val="0"/>
            <w:vAlign w:val="top"/>
          </w:tcPr>
          <w:p w14:paraId="4BE7BF0F">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r>
      <w:tr w14:paraId="6037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4C218D4A">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43D15E5D">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648B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719174A6">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7D0947D3">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35C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331FC9A6">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5AA12E00">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5B29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202BF9BA">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2F5E3E12">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54C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5CBC38BC">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5F0BCFDD">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35BA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91" w:type="dxa"/>
            <w:gridSpan w:val="2"/>
            <w:tcBorders>
              <w:top w:val="single" w:color="auto" w:sz="4" w:space="0"/>
              <w:left w:val="single" w:color="auto" w:sz="4" w:space="0"/>
              <w:bottom w:val="single" w:color="auto" w:sz="4" w:space="0"/>
              <w:right w:val="single" w:color="auto" w:sz="4" w:space="0"/>
            </w:tcBorders>
            <w:noWrap w:val="0"/>
            <w:vAlign w:val="top"/>
          </w:tcPr>
          <w:p w14:paraId="2AE9BEAD">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r>
      <w:tr w14:paraId="2496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0415185C">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410A3834">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7EAC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7E3C52F3">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39B3FC01">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5C1D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25F5953A">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705D7469">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73D8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5B879255">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1F6C54BA">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7D7B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09181353">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60355254">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1105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91" w:type="dxa"/>
            <w:gridSpan w:val="2"/>
            <w:tcBorders>
              <w:top w:val="single" w:color="auto" w:sz="4" w:space="0"/>
              <w:left w:val="single" w:color="auto" w:sz="4" w:space="0"/>
              <w:bottom w:val="single" w:color="auto" w:sz="4" w:space="0"/>
              <w:right w:val="single" w:color="auto" w:sz="4" w:space="0"/>
            </w:tcBorders>
            <w:noWrap w:val="0"/>
            <w:vAlign w:val="top"/>
          </w:tcPr>
          <w:p w14:paraId="6C12F58F">
            <w:pPr>
              <w:pStyle w:val="22"/>
              <w:pageBreakBefore w:val="0"/>
              <w:shd w:val="clear" w:color="auto" w:fill="FFFFFF"/>
              <w:overflowPunct/>
              <w:topLinePunct w:val="0"/>
              <w:bidi w:val="0"/>
              <w:spacing w:line="360" w:lineRule="auto"/>
              <w:ind w:left="420" w:firstLine="422"/>
              <w:rPr>
                <w:rFonts w:hint="eastAsia" w:asciiTheme="majorEastAsia" w:hAnsiTheme="majorEastAsia" w:eastAsiaTheme="majorEastAsia" w:cstheme="majorEastAsia"/>
                <w:b/>
                <w:kern w:val="2"/>
                <w:sz w:val="24"/>
                <w:szCs w:val="24"/>
              </w:rPr>
            </w:pPr>
          </w:p>
        </w:tc>
      </w:tr>
      <w:tr w14:paraId="6460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3465F870">
            <w:pPr>
              <w:pStyle w:val="22"/>
              <w:pageBreakBefore w:val="0"/>
              <w:shd w:val="clear" w:color="auto" w:fill="FFFFFF"/>
              <w:overflowPunct/>
              <w:topLinePunct w:val="0"/>
              <w:bidi w:val="0"/>
              <w:spacing w:line="360" w:lineRule="auto"/>
              <w:ind w:left="420" w:firstLine="422"/>
              <w:rPr>
                <w:rFonts w:hint="eastAsia" w:asciiTheme="majorEastAsia" w:hAnsiTheme="majorEastAsia" w:eastAsiaTheme="majorEastAsia" w:cstheme="majorEastAsia"/>
                <w:b/>
                <w:bCs/>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4A361FF8">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5E32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2DA2858F">
            <w:pPr>
              <w:pStyle w:val="22"/>
              <w:pageBreakBefore w:val="0"/>
              <w:shd w:val="clear" w:color="auto" w:fill="FFFFFF"/>
              <w:overflowPunct/>
              <w:topLinePunct w:val="0"/>
              <w:bidi w:val="0"/>
              <w:spacing w:line="360" w:lineRule="auto"/>
              <w:ind w:left="420"/>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3F3A1F99">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154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33A09C7D">
            <w:pPr>
              <w:pStyle w:val="22"/>
              <w:pageBreakBefore w:val="0"/>
              <w:shd w:val="clear" w:color="auto" w:fill="FFFFFF"/>
              <w:overflowPunct/>
              <w:topLinePunct w:val="0"/>
              <w:bidi w:val="0"/>
              <w:spacing w:line="360" w:lineRule="auto"/>
              <w:ind w:left="420" w:firstLine="422"/>
              <w:rPr>
                <w:rFonts w:hint="eastAsia" w:asciiTheme="majorEastAsia" w:hAnsiTheme="majorEastAsia" w:eastAsiaTheme="majorEastAsia" w:cstheme="majorEastAsia"/>
                <w:b/>
                <w:bCs/>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6771D778">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590E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091" w:type="dxa"/>
            <w:gridSpan w:val="2"/>
            <w:tcBorders>
              <w:top w:val="single" w:color="auto" w:sz="4" w:space="0"/>
              <w:left w:val="single" w:color="auto" w:sz="4" w:space="0"/>
              <w:bottom w:val="single" w:color="auto" w:sz="4" w:space="0"/>
              <w:right w:val="single" w:color="auto" w:sz="4" w:space="0"/>
            </w:tcBorders>
            <w:noWrap w:val="0"/>
            <w:vAlign w:val="top"/>
          </w:tcPr>
          <w:p w14:paraId="0A07AFE2">
            <w:pPr>
              <w:pStyle w:val="22"/>
              <w:pageBreakBefore w:val="0"/>
              <w:shd w:val="clear" w:color="auto" w:fill="FFFFFF"/>
              <w:overflowPunct/>
              <w:topLinePunct w:val="0"/>
              <w:bidi w:val="0"/>
              <w:spacing w:line="360" w:lineRule="auto"/>
              <w:ind w:left="420" w:firstLine="422"/>
              <w:rPr>
                <w:rFonts w:hint="eastAsia" w:asciiTheme="majorEastAsia" w:hAnsiTheme="majorEastAsia" w:eastAsiaTheme="majorEastAsia" w:cstheme="majorEastAsia"/>
                <w:b/>
                <w:kern w:val="2"/>
                <w:sz w:val="24"/>
                <w:szCs w:val="24"/>
              </w:rPr>
            </w:pPr>
          </w:p>
        </w:tc>
      </w:tr>
      <w:tr w14:paraId="233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25E5679C">
            <w:pPr>
              <w:pStyle w:val="22"/>
              <w:pageBreakBefore w:val="0"/>
              <w:shd w:val="clear" w:color="auto" w:fill="FFFFFF"/>
              <w:overflowPunct/>
              <w:topLinePunct w:val="0"/>
              <w:bidi w:val="0"/>
              <w:spacing w:line="360" w:lineRule="auto"/>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34AA389A">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r w14:paraId="0C70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5" w:type="dxa"/>
            <w:tcBorders>
              <w:top w:val="single" w:color="auto" w:sz="4" w:space="0"/>
              <w:left w:val="single" w:color="auto" w:sz="4" w:space="0"/>
              <w:bottom w:val="single" w:color="auto" w:sz="4" w:space="0"/>
              <w:right w:val="single" w:color="auto" w:sz="4" w:space="0"/>
            </w:tcBorders>
            <w:noWrap w:val="0"/>
            <w:vAlign w:val="top"/>
          </w:tcPr>
          <w:p w14:paraId="373E8C45">
            <w:pPr>
              <w:pStyle w:val="22"/>
              <w:pageBreakBefore w:val="0"/>
              <w:shd w:val="clear" w:color="auto" w:fill="FFFFFF"/>
              <w:overflowPunct/>
              <w:topLinePunct w:val="0"/>
              <w:bidi w:val="0"/>
              <w:spacing w:line="360" w:lineRule="auto"/>
              <w:rPr>
                <w:rFonts w:hint="eastAsia" w:asciiTheme="majorEastAsia" w:hAnsiTheme="majorEastAsia" w:eastAsiaTheme="majorEastAsia" w:cstheme="majorEastAsia"/>
                <w:kern w:val="2"/>
                <w:sz w:val="24"/>
                <w:szCs w:val="24"/>
              </w:rPr>
            </w:pPr>
          </w:p>
        </w:tc>
        <w:tc>
          <w:tcPr>
            <w:tcW w:w="3126" w:type="dxa"/>
            <w:tcBorders>
              <w:top w:val="single" w:color="auto" w:sz="4" w:space="0"/>
              <w:left w:val="single" w:color="auto" w:sz="4" w:space="0"/>
              <w:bottom w:val="single" w:color="auto" w:sz="4" w:space="0"/>
              <w:right w:val="single" w:color="auto" w:sz="4" w:space="0"/>
            </w:tcBorders>
            <w:noWrap w:val="0"/>
            <w:vAlign w:val="top"/>
          </w:tcPr>
          <w:p w14:paraId="0A60A189">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p>
        </w:tc>
      </w:tr>
    </w:tbl>
    <w:p w14:paraId="2EAE7D4F">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50380E07">
      <w:pPr>
        <w:pageBreakBefore w:val="0"/>
        <w:overflowPunct/>
        <w:topLinePunct w:val="0"/>
        <w:bidi w:val="0"/>
        <w:spacing w:line="360"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sz w:val="24"/>
          <w:szCs w:val="24"/>
          <w:u w:val="single"/>
        </w:rPr>
        <w:br w:type="page"/>
      </w:r>
      <w:r>
        <w:rPr>
          <w:rFonts w:hint="eastAsia" w:asciiTheme="majorEastAsia" w:hAnsiTheme="majorEastAsia" w:eastAsiaTheme="majorEastAsia" w:cstheme="majorEastAsia"/>
          <w:b/>
          <w:bCs/>
          <w:sz w:val="24"/>
          <w:szCs w:val="24"/>
        </w:rPr>
        <w:t>响应文件主要目录</w:t>
      </w:r>
    </w:p>
    <w:p w14:paraId="4B51FDE7">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一、资格性和符合性检查响应对照表</w:t>
      </w:r>
    </w:p>
    <w:p w14:paraId="39AABC93">
      <w:pPr>
        <w:pageBreakBefore w:val="0"/>
        <w:overflowPunct/>
        <w:topLinePunct w:val="0"/>
        <w:bidi w:val="0"/>
        <w:spacing w:line="360" w:lineRule="auto"/>
        <w:ind w:firstLine="482"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二</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资信证明文件</w:t>
      </w:r>
    </w:p>
    <w:p w14:paraId="21F0310A">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三、磋商响应报价表</w:t>
      </w:r>
    </w:p>
    <w:p w14:paraId="5C6DC6ED">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四、分项报价表</w:t>
      </w:r>
    </w:p>
    <w:p w14:paraId="360CADE0">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五、技术参数响应及偏离表</w:t>
      </w:r>
    </w:p>
    <w:p w14:paraId="4811FAC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六、商务条款响应及偏离表</w:t>
      </w:r>
    </w:p>
    <w:p w14:paraId="4D18C068">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七、服务方案</w:t>
      </w:r>
    </w:p>
    <w:p w14:paraId="3D8062CD">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八、其他 （供应商认为有必要提供的声明和文件，如有自拟并自行添加）</w:t>
      </w:r>
    </w:p>
    <w:p w14:paraId="79762F4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108E3F83">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03E8C045">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4763C52B">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60F3CCB2">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5FA525B3">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20EB4DF9">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6EBDB726">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5BC3E56F">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5270A32C">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3CD62EC7">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7EEC8A9B">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248ED795">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00946814">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74697571">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64824181">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35B34E23">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0C672934">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1F31BE5B">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48CE3298">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6A1E2FFA">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一、资格性和符合性检查响应对照表</w:t>
      </w:r>
    </w:p>
    <w:p w14:paraId="1A660F6F">
      <w:pPr>
        <w:pageBreakBefore w:val="0"/>
        <w:overflowPunct/>
        <w:topLinePunct w:val="0"/>
        <w:bidi w:val="0"/>
        <w:spacing w:line="360" w:lineRule="auto"/>
        <w:ind w:firstLine="30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磋商供应商全称（加盖公章）：</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431"/>
        <w:gridCol w:w="1985"/>
        <w:gridCol w:w="2410"/>
      </w:tblGrid>
      <w:tr w14:paraId="10A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57A50AA6">
            <w:pPr>
              <w:pageBreakBefore w:val="0"/>
              <w:overflowPunct/>
              <w:topLinePunct w:val="0"/>
              <w:bidi w:val="0"/>
              <w:snapToGrid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序号</w:t>
            </w:r>
          </w:p>
        </w:tc>
        <w:tc>
          <w:tcPr>
            <w:tcW w:w="3431" w:type="dxa"/>
            <w:noWrap w:val="0"/>
            <w:vAlign w:val="center"/>
          </w:tcPr>
          <w:p w14:paraId="10F36BC0">
            <w:pPr>
              <w:pageBreakBefore w:val="0"/>
              <w:overflowPunct/>
              <w:topLinePunct w:val="0"/>
              <w:bidi w:val="0"/>
              <w:snapToGrid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资格和符合性检查响应内容</w:t>
            </w:r>
          </w:p>
        </w:tc>
        <w:tc>
          <w:tcPr>
            <w:tcW w:w="1985" w:type="dxa"/>
            <w:noWrap w:val="0"/>
            <w:vAlign w:val="center"/>
          </w:tcPr>
          <w:p w14:paraId="7D9E8FD3">
            <w:pPr>
              <w:pageBreakBefore w:val="0"/>
              <w:overflowPunct/>
              <w:topLinePunct w:val="0"/>
              <w:bidi w:val="0"/>
              <w:snapToGrid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是否响应</w:t>
            </w:r>
          </w:p>
          <w:p w14:paraId="6824007D">
            <w:pPr>
              <w:pageBreakBefore w:val="0"/>
              <w:overflowPunct/>
              <w:topLinePunct w:val="0"/>
              <w:bidi w:val="0"/>
              <w:snapToGrid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（填是或者否）</w:t>
            </w:r>
          </w:p>
        </w:tc>
        <w:tc>
          <w:tcPr>
            <w:tcW w:w="2410" w:type="dxa"/>
            <w:noWrap w:val="0"/>
            <w:vAlign w:val="center"/>
          </w:tcPr>
          <w:p w14:paraId="24A04ACF">
            <w:pPr>
              <w:pageBreakBefore w:val="0"/>
              <w:overflowPunct/>
              <w:topLinePunct w:val="0"/>
              <w:bidi w:val="0"/>
              <w:snapToGrid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响应文件中的页码位置</w:t>
            </w:r>
          </w:p>
        </w:tc>
      </w:tr>
      <w:tr w14:paraId="09AD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2C09A5A">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1</w:t>
            </w:r>
          </w:p>
        </w:tc>
        <w:tc>
          <w:tcPr>
            <w:tcW w:w="3431" w:type="dxa"/>
            <w:noWrap w:val="0"/>
            <w:vAlign w:val="center"/>
          </w:tcPr>
          <w:p w14:paraId="127CC53D">
            <w:pPr>
              <w:pageBreakBefore w:val="0"/>
              <w:overflowPunct/>
              <w:topLinePunct w:val="0"/>
              <w:bidi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4DB1D251">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53A0AB6A">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702D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F13D983">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2</w:t>
            </w:r>
          </w:p>
        </w:tc>
        <w:tc>
          <w:tcPr>
            <w:tcW w:w="3431" w:type="dxa"/>
            <w:noWrap w:val="0"/>
            <w:vAlign w:val="center"/>
          </w:tcPr>
          <w:p w14:paraId="47C4C54F">
            <w:pPr>
              <w:pageBreakBefore w:val="0"/>
              <w:overflowPunct/>
              <w:topLinePunct w:val="0"/>
              <w:bidi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74F737A4">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2900CF32">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5343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4565557">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3</w:t>
            </w:r>
          </w:p>
        </w:tc>
        <w:tc>
          <w:tcPr>
            <w:tcW w:w="3431" w:type="dxa"/>
            <w:noWrap w:val="0"/>
            <w:vAlign w:val="center"/>
          </w:tcPr>
          <w:p w14:paraId="577FF64C">
            <w:pPr>
              <w:pageBreakBefore w:val="0"/>
              <w:overflowPunct/>
              <w:topLinePunct w:val="0"/>
              <w:bidi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06E5B3EA">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5BE1F785">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1CF3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46" w:type="dxa"/>
            <w:noWrap w:val="0"/>
            <w:vAlign w:val="center"/>
          </w:tcPr>
          <w:p w14:paraId="6EFB251F">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4</w:t>
            </w:r>
          </w:p>
        </w:tc>
        <w:tc>
          <w:tcPr>
            <w:tcW w:w="3431" w:type="dxa"/>
            <w:noWrap w:val="0"/>
            <w:vAlign w:val="center"/>
          </w:tcPr>
          <w:p w14:paraId="3BF6F52B">
            <w:pPr>
              <w:pageBreakBefore w:val="0"/>
              <w:overflowPunct/>
              <w:topLinePunct w:val="0"/>
              <w:bidi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6A0C5B4B">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012E9D65">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20D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noWrap w:val="0"/>
            <w:vAlign w:val="center"/>
          </w:tcPr>
          <w:p w14:paraId="77CE3E9A">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5</w:t>
            </w:r>
          </w:p>
        </w:tc>
        <w:tc>
          <w:tcPr>
            <w:tcW w:w="3431" w:type="dxa"/>
            <w:noWrap w:val="0"/>
            <w:vAlign w:val="center"/>
          </w:tcPr>
          <w:p w14:paraId="499492A7">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3E8F6B81">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0A05289C">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452E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6396C34E">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6</w:t>
            </w:r>
          </w:p>
        </w:tc>
        <w:tc>
          <w:tcPr>
            <w:tcW w:w="3431" w:type="dxa"/>
            <w:noWrap w:val="0"/>
            <w:vAlign w:val="center"/>
          </w:tcPr>
          <w:p w14:paraId="483CB99D">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42E8039E">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21D1BE5C">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36F3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4453B241">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7</w:t>
            </w:r>
          </w:p>
        </w:tc>
        <w:tc>
          <w:tcPr>
            <w:tcW w:w="3431" w:type="dxa"/>
            <w:noWrap w:val="0"/>
            <w:vAlign w:val="center"/>
          </w:tcPr>
          <w:p w14:paraId="414B83C4">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3A89178B">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02A0D631">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70E8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2B2ED0E9">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8</w:t>
            </w:r>
          </w:p>
        </w:tc>
        <w:tc>
          <w:tcPr>
            <w:tcW w:w="3431" w:type="dxa"/>
            <w:noWrap w:val="0"/>
            <w:vAlign w:val="center"/>
          </w:tcPr>
          <w:p w14:paraId="02C7FCE5">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6775A6CD">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6008EB5A">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425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1BCF81F9">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9</w:t>
            </w:r>
          </w:p>
        </w:tc>
        <w:tc>
          <w:tcPr>
            <w:tcW w:w="3431" w:type="dxa"/>
            <w:noWrap w:val="0"/>
            <w:vAlign w:val="center"/>
          </w:tcPr>
          <w:p w14:paraId="27B0FD7B">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484305D8">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0AEE5839">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66A1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48E770A7">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10</w:t>
            </w:r>
          </w:p>
        </w:tc>
        <w:tc>
          <w:tcPr>
            <w:tcW w:w="3431" w:type="dxa"/>
            <w:noWrap w:val="0"/>
            <w:vAlign w:val="center"/>
          </w:tcPr>
          <w:p w14:paraId="1B651BCA">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29F6C298">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058EFD77">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0EAA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710CB24E">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11</w:t>
            </w:r>
          </w:p>
        </w:tc>
        <w:tc>
          <w:tcPr>
            <w:tcW w:w="3431" w:type="dxa"/>
            <w:noWrap w:val="0"/>
            <w:vAlign w:val="center"/>
          </w:tcPr>
          <w:p w14:paraId="29196F4A">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p>
        </w:tc>
        <w:tc>
          <w:tcPr>
            <w:tcW w:w="1985" w:type="dxa"/>
            <w:noWrap w:val="0"/>
            <w:vAlign w:val="center"/>
          </w:tcPr>
          <w:p w14:paraId="1F86C8C6">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5A04FBC9">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r w14:paraId="5DF3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231305C1">
            <w:pPr>
              <w:pageBreakBefore w:val="0"/>
              <w:overflowPunct/>
              <w:topLinePunct w:val="0"/>
              <w:bidi w:val="0"/>
              <w:spacing w:line="360" w:lineRule="auto"/>
              <w:rPr>
                <w:rFonts w:hint="eastAsia" w:asciiTheme="majorEastAsia" w:hAnsiTheme="majorEastAsia" w:eastAsiaTheme="majorEastAsia" w:cstheme="majorEastAsia"/>
                <w:i/>
                <w:color w:val="000000"/>
                <w:sz w:val="24"/>
                <w:szCs w:val="24"/>
                <w:u w:val="single"/>
              </w:rPr>
            </w:pPr>
            <w:r>
              <w:rPr>
                <w:rFonts w:hint="eastAsia" w:asciiTheme="majorEastAsia" w:hAnsiTheme="majorEastAsia" w:eastAsiaTheme="majorEastAsia" w:cstheme="majorEastAsia"/>
                <w:i/>
                <w:color w:val="000000"/>
                <w:sz w:val="24"/>
                <w:szCs w:val="24"/>
                <w:u w:val="single"/>
              </w:rPr>
              <w:t>12</w:t>
            </w:r>
          </w:p>
        </w:tc>
        <w:tc>
          <w:tcPr>
            <w:tcW w:w="3431" w:type="dxa"/>
            <w:noWrap w:val="0"/>
            <w:vAlign w:val="center"/>
          </w:tcPr>
          <w:p w14:paraId="18255E17">
            <w:pPr>
              <w:pageBreakBefore w:val="0"/>
              <w:overflowPunct/>
              <w:topLinePunct w:val="0"/>
              <w:bidi w:val="0"/>
              <w:snapToGrid w:val="0"/>
              <w:spacing w:line="360" w:lineRule="auto"/>
              <w:rPr>
                <w:rFonts w:hint="eastAsia" w:asciiTheme="majorEastAsia" w:hAnsiTheme="majorEastAsia" w:eastAsiaTheme="majorEastAsia" w:cstheme="majorEastAsia"/>
                <w:i/>
                <w:iCs/>
                <w:color w:val="000000"/>
                <w:sz w:val="24"/>
                <w:szCs w:val="24"/>
                <w:u w:val="single"/>
              </w:rPr>
            </w:pPr>
            <w:r>
              <w:rPr>
                <w:rFonts w:hint="eastAsia" w:asciiTheme="majorEastAsia" w:hAnsiTheme="majorEastAsia" w:eastAsiaTheme="majorEastAsia" w:cstheme="majorEastAsia"/>
                <w:i/>
                <w:iCs/>
                <w:color w:val="000000"/>
                <w:sz w:val="24"/>
                <w:szCs w:val="24"/>
                <w:u w:val="single"/>
              </w:rPr>
              <w:t>磋商文件中的其他实质性要求</w:t>
            </w:r>
          </w:p>
        </w:tc>
        <w:tc>
          <w:tcPr>
            <w:tcW w:w="1985" w:type="dxa"/>
            <w:noWrap w:val="0"/>
            <w:vAlign w:val="center"/>
          </w:tcPr>
          <w:p w14:paraId="3E00BEF2">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c>
          <w:tcPr>
            <w:tcW w:w="2410" w:type="dxa"/>
            <w:noWrap w:val="0"/>
            <w:vAlign w:val="center"/>
          </w:tcPr>
          <w:p w14:paraId="202E839D">
            <w:pPr>
              <w:pageBreakBefore w:val="0"/>
              <w:overflowPunct/>
              <w:topLinePunct w:val="0"/>
              <w:bidi w:val="0"/>
              <w:spacing w:line="360" w:lineRule="auto"/>
              <w:rPr>
                <w:rFonts w:hint="eastAsia" w:asciiTheme="majorEastAsia" w:hAnsiTheme="majorEastAsia" w:eastAsiaTheme="majorEastAsia" w:cstheme="majorEastAsia"/>
                <w:color w:val="000000"/>
                <w:sz w:val="24"/>
                <w:szCs w:val="24"/>
              </w:rPr>
            </w:pPr>
          </w:p>
        </w:tc>
      </w:tr>
    </w:tbl>
    <w:p w14:paraId="2B9B5241">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23485F42">
      <w:pPr>
        <w:pageBreakBefore w:val="0"/>
        <w:overflowPunct/>
        <w:topLinePunct w:val="0"/>
        <w:bidi w:val="0"/>
        <w:spacing w:line="360" w:lineRule="auto"/>
        <w:rPr>
          <w:rFonts w:hint="eastAsia" w:asciiTheme="majorEastAsia" w:hAnsiTheme="majorEastAsia" w:eastAsiaTheme="majorEastAsia" w:cstheme="majorEastAsia"/>
          <w:kern w:val="0"/>
          <w:sz w:val="24"/>
          <w:szCs w:val="24"/>
        </w:rPr>
      </w:pPr>
    </w:p>
    <w:p w14:paraId="717ED99C">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2A097BB2">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E24E275">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24B4DB43">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A220FBA">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6AE116C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50315D3D">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5F717DFA">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DD5E8CF">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5E660A43">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35A37D33">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二、资信证明文件</w:t>
      </w:r>
    </w:p>
    <w:p w14:paraId="620F4A11">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1、实质性资格证明文件目录</w:t>
      </w:r>
    </w:p>
    <w:p w14:paraId="27F99A6C">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1.1磋商响应函</w:t>
      </w:r>
      <w:r>
        <w:rPr>
          <w:rFonts w:hint="eastAsia" w:asciiTheme="majorEastAsia" w:hAnsiTheme="majorEastAsia" w:eastAsiaTheme="majorEastAsia" w:cstheme="majorEastAsia"/>
          <w:b/>
          <w:i/>
          <w:sz w:val="24"/>
          <w:szCs w:val="24"/>
          <w:u w:val="single"/>
        </w:rPr>
        <w:t>（原件）</w:t>
      </w:r>
    </w:p>
    <w:p w14:paraId="55C0A6A1">
      <w:pPr>
        <w:pageBreakBefore w:val="0"/>
        <w:overflowPunct/>
        <w:topLinePunct w:val="0"/>
        <w:bidi w:val="0"/>
        <w:spacing w:line="360" w:lineRule="auto"/>
        <w:ind w:firstLine="480" w:firstLineChars="200"/>
        <w:rPr>
          <w:rFonts w:hint="eastAsia" w:asciiTheme="majorEastAsia" w:hAnsiTheme="majorEastAsia" w:eastAsiaTheme="majorEastAsia" w:cstheme="majorEastAsia"/>
          <w:b/>
          <w:i/>
          <w:sz w:val="24"/>
          <w:szCs w:val="24"/>
          <w:u w:val="single"/>
        </w:rPr>
      </w:pPr>
      <w:r>
        <w:rPr>
          <w:rFonts w:hint="eastAsia" w:asciiTheme="majorEastAsia" w:hAnsiTheme="majorEastAsia" w:eastAsiaTheme="majorEastAsia" w:cstheme="majorEastAsia"/>
          <w:i/>
          <w:sz w:val="24"/>
          <w:szCs w:val="24"/>
          <w:u w:val="single"/>
        </w:rPr>
        <w:t>1.2资格声明</w:t>
      </w:r>
      <w:r>
        <w:rPr>
          <w:rFonts w:hint="eastAsia" w:asciiTheme="majorEastAsia" w:hAnsiTheme="majorEastAsia" w:eastAsiaTheme="majorEastAsia" w:cstheme="majorEastAsia"/>
          <w:b/>
          <w:i/>
          <w:sz w:val="24"/>
          <w:szCs w:val="24"/>
          <w:u w:val="single"/>
        </w:rPr>
        <w:t>（原件）</w:t>
      </w:r>
    </w:p>
    <w:p w14:paraId="1DF611B6">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bCs/>
          <w:i/>
          <w:sz w:val="24"/>
          <w:szCs w:val="24"/>
          <w:u w:val="single"/>
        </w:rPr>
        <w:t>1.3</w:t>
      </w:r>
      <w:r>
        <w:rPr>
          <w:rFonts w:hint="eastAsia" w:asciiTheme="majorEastAsia" w:hAnsiTheme="majorEastAsia" w:eastAsiaTheme="majorEastAsia" w:cstheme="majorEastAsia"/>
          <w:b/>
          <w:bCs/>
          <w:i/>
          <w:sz w:val="24"/>
          <w:szCs w:val="24"/>
          <w:u w:val="single"/>
        </w:rPr>
        <w:t xml:space="preserve"> </w:t>
      </w:r>
      <w:r>
        <w:rPr>
          <w:rFonts w:hint="eastAsia" w:asciiTheme="majorEastAsia" w:hAnsiTheme="majorEastAsia" w:eastAsiaTheme="majorEastAsia" w:cstheme="majorEastAsia"/>
          <w:i/>
          <w:sz w:val="24"/>
          <w:szCs w:val="24"/>
          <w:u w:val="single"/>
        </w:rPr>
        <w:t>法人或者其他组织的营业执照等证明文件、自然人的身份证明</w:t>
      </w:r>
      <w:r>
        <w:rPr>
          <w:rFonts w:hint="eastAsia" w:asciiTheme="majorEastAsia" w:hAnsiTheme="majorEastAsia" w:eastAsiaTheme="majorEastAsia" w:cstheme="majorEastAsia"/>
          <w:b/>
          <w:bCs/>
          <w:i/>
          <w:sz w:val="24"/>
          <w:szCs w:val="24"/>
          <w:u w:val="single"/>
        </w:rPr>
        <w:t xml:space="preserve"> (复印件加盖供应商公章)</w:t>
      </w:r>
    </w:p>
    <w:p w14:paraId="5ADFB865">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1.4若法定代表人参加投标的，须提供本人身份证复印件</w:t>
      </w:r>
      <w:r>
        <w:rPr>
          <w:rFonts w:hint="eastAsia" w:asciiTheme="majorEastAsia" w:hAnsiTheme="majorEastAsia" w:eastAsiaTheme="majorEastAsia" w:cstheme="majorEastAsia"/>
          <w:b/>
          <w:bCs/>
          <w:i/>
          <w:sz w:val="24"/>
          <w:szCs w:val="24"/>
          <w:u w:val="single"/>
        </w:rPr>
        <w:t>(原件备查)</w:t>
      </w:r>
      <w:r>
        <w:rPr>
          <w:rFonts w:hint="eastAsia" w:asciiTheme="majorEastAsia" w:hAnsiTheme="majorEastAsia" w:eastAsiaTheme="majorEastAsia" w:cstheme="majorEastAsia"/>
          <w:i/>
          <w:sz w:val="24"/>
          <w:szCs w:val="24"/>
          <w:u w:val="single"/>
        </w:rPr>
        <w:t>；若授权代表参加的，须提供《法人授权书》原件和授权代表身份证复印件</w:t>
      </w:r>
      <w:r>
        <w:rPr>
          <w:rFonts w:hint="eastAsia" w:asciiTheme="majorEastAsia" w:hAnsiTheme="majorEastAsia" w:eastAsiaTheme="majorEastAsia" w:cstheme="majorEastAsia"/>
          <w:b/>
          <w:bCs/>
          <w:i/>
          <w:sz w:val="24"/>
          <w:szCs w:val="24"/>
          <w:u w:val="single"/>
        </w:rPr>
        <w:t>（原件备查）</w:t>
      </w:r>
    </w:p>
    <w:p w14:paraId="16263F4A">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1.5 依法缴纳职工社会保障资金的证明材料</w:t>
      </w:r>
      <w:r>
        <w:rPr>
          <w:rFonts w:hint="eastAsia" w:asciiTheme="majorEastAsia" w:hAnsiTheme="majorEastAsia" w:eastAsiaTheme="majorEastAsia" w:cstheme="majorEastAsia"/>
          <w:b/>
          <w:bCs/>
          <w:i/>
          <w:sz w:val="24"/>
          <w:szCs w:val="24"/>
          <w:u w:val="single"/>
        </w:rPr>
        <w:t>(复印件加盖供应商公章)(税务、银行或社会保险基金管理部门出具的近三个月内任意一个月缴纳职工社会保障资金的缴款凭证或缴款证明)</w:t>
      </w:r>
    </w:p>
    <w:p w14:paraId="42858746">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u w:val="single"/>
        </w:rPr>
        <w:t>1.6 供应商近三个月内任意一份依法纳税的缴款凭证</w:t>
      </w:r>
      <w:r>
        <w:rPr>
          <w:rFonts w:hint="eastAsia" w:asciiTheme="majorEastAsia" w:hAnsiTheme="majorEastAsia" w:eastAsiaTheme="majorEastAsia" w:cstheme="majorEastAsia"/>
          <w:b/>
          <w:bCs/>
          <w:i/>
          <w:sz w:val="24"/>
          <w:szCs w:val="24"/>
          <w:u w:val="single"/>
        </w:rPr>
        <w:t>(复印件加盖供应商公章)</w:t>
      </w:r>
    </w:p>
    <w:p w14:paraId="7F296D4F">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1.7 上一年度财务报告</w:t>
      </w:r>
      <w:r>
        <w:rPr>
          <w:rFonts w:hint="eastAsia" w:asciiTheme="majorEastAsia" w:hAnsiTheme="majorEastAsia" w:eastAsiaTheme="majorEastAsia" w:cstheme="majorEastAsia"/>
          <w:b/>
          <w:bCs/>
          <w:i/>
          <w:sz w:val="24"/>
          <w:szCs w:val="24"/>
          <w:u w:val="single"/>
        </w:rPr>
        <w:t>(复印件加盖供应商公章)（成立不满一年无需提供）</w:t>
      </w:r>
    </w:p>
    <w:p w14:paraId="4AAEEC72">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1.8 参加本次采购活动前3年内在经营活动中没有重大违法记录的书面声明</w:t>
      </w:r>
      <w:r>
        <w:rPr>
          <w:rFonts w:hint="eastAsia" w:asciiTheme="majorEastAsia" w:hAnsiTheme="majorEastAsia" w:eastAsiaTheme="majorEastAsia" w:cstheme="majorEastAsia"/>
          <w:b/>
          <w:bCs/>
          <w:i/>
          <w:sz w:val="24"/>
          <w:szCs w:val="24"/>
          <w:u w:val="single"/>
        </w:rPr>
        <w:t>（原件）</w:t>
      </w:r>
    </w:p>
    <w:p w14:paraId="4E998950">
      <w:pPr>
        <w:pageBreakBefore w:val="0"/>
        <w:overflowPunct/>
        <w:topLinePunct w:val="0"/>
        <w:bidi w:val="0"/>
        <w:spacing w:line="360" w:lineRule="auto"/>
        <w:ind w:firstLine="480" w:firstLineChars="200"/>
        <w:rPr>
          <w:rFonts w:hint="eastAsia" w:asciiTheme="majorEastAsia" w:hAnsiTheme="majorEastAsia" w:eastAsiaTheme="majorEastAsia" w:cstheme="majorEastAsia"/>
          <w:b/>
          <w:bCs/>
          <w:i/>
          <w:sz w:val="24"/>
          <w:szCs w:val="24"/>
          <w:u w:val="single"/>
        </w:rPr>
      </w:pPr>
      <w:r>
        <w:rPr>
          <w:rFonts w:hint="eastAsia" w:asciiTheme="majorEastAsia" w:hAnsiTheme="majorEastAsia" w:eastAsiaTheme="majorEastAsia" w:cstheme="majorEastAsia"/>
          <w:i/>
          <w:sz w:val="24"/>
          <w:szCs w:val="24"/>
          <w:u w:val="single"/>
        </w:rPr>
        <w:t>1.9未被“信用中国”网站（www.creditchina.gov.cn）、“中国政府采购网"(www.ccgp.gov.cn)列入失信被执行人、重大税收违法案件当事人名单、政府采购严重违法失信行为记录名单</w:t>
      </w:r>
    </w:p>
    <w:p w14:paraId="1C512653">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2.本项目的特定资格要求：/</w:t>
      </w:r>
    </w:p>
    <w:p w14:paraId="54F8914C">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5B4CC50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6550A643">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p>
    <w:p w14:paraId="410985AC">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CCD547B">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38B97F3">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13AB7F6F">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bookmarkStart w:id="167" w:name="_Hlk169246817"/>
    </w:p>
    <w:p w14:paraId="4E3BA308">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p>
    <w:p w14:paraId="487120FD">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p>
    <w:p w14:paraId="78D37020">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p>
    <w:p w14:paraId="3C69A8CC">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color w:val="000000"/>
          <w:sz w:val="24"/>
          <w:szCs w:val="24"/>
        </w:rPr>
        <w:t>磋商响应函</w:t>
      </w:r>
    </w:p>
    <w:bookmarkEnd w:id="167"/>
    <w:p w14:paraId="5452B3BE">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致： </w:t>
      </w:r>
    </w:p>
    <w:p w14:paraId="58E62F2B">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根据贵方的磋商文件，正式授权下述签字人_________ (姓名和职务)代表我方______________（供应商的名称），全权处理本次项目磋商采购的有关事宜。</w:t>
      </w:r>
    </w:p>
    <w:p w14:paraId="57DBCCF4">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据此函，__________（签字人）兹宣布同意如下：</w:t>
      </w:r>
    </w:p>
    <w:p w14:paraId="1BD1BE54">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1.按磋商文件规定的各项要求，向买方提供所需服务。</w:t>
      </w:r>
    </w:p>
    <w:p w14:paraId="4475845B">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2.我们已详细审核全部磋商文件及其有效补充文件，我们知道必须放弃提出含糊不清或误解问题的权利。</w:t>
      </w:r>
    </w:p>
    <w:p w14:paraId="0388A812">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3.我们同意从规定的</w:t>
      </w:r>
      <w:r>
        <w:rPr>
          <w:rFonts w:hint="eastAsia" w:asciiTheme="majorEastAsia" w:hAnsiTheme="majorEastAsia" w:eastAsiaTheme="majorEastAsia" w:cstheme="majorEastAsia"/>
          <w:color w:val="000000"/>
          <w:sz w:val="24"/>
          <w:szCs w:val="24"/>
        </w:rPr>
        <w:t>响应文件接收截止时间</w:t>
      </w:r>
      <w:r>
        <w:rPr>
          <w:rFonts w:hint="eastAsia" w:asciiTheme="majorEastAsia" w:hAnsiTheme="majorEastAsia" w:eastAsiaTheme="majorEastAsia" w:cstheme="majorEastAsia"/>
          <w:sz w:val="24"/>
          <w:szCs w:val="24"/>
        </w:rPr>
        <w:t>起遵循本响应文件，并在规定的磋商有效期期满之前均具有约束力。</w:t>
      </w:r>
    </w:p>
    <w:p w14:paraId="7C175ADD">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4.如果在</w:t>
      </w:r>
      <w:r>
        <w:rPr>
          <w:rFonts w:hint="eastAsia" w:asciiTheme="majorEastAsia" w:hAnsiTheme="majorEastAsia" w:eastAsiaTheme="majorEastAsia" w:cstheme="majorEastAsia"/>
          <w:color w:val="000000"/>
          <w:sz w:val="24"/>
          <w:szCs w:val="24"/>
        </w:rPr>
        <w:t>响应文件接收截止时间</w:t>
      </w:r>
      <w:r>
        <w:rPr>
          <w:rFonts w:hint="eastAsia" w:asciiTheme="majorEastAsia" w:hAnsiTheme="majorEastAsia" w:eastAsiaTheme="majorEastAsia" w:cstheme="majorEastAsia"/>
          <w:sz w:val="24"/>
          <w:szCs w:val="24"/>
        </w:rPr>
        <w:t>后规定的磋商有效期内撤回响应文件或成交后拒绝签订合同，愿承担相应的责任。</w:t>
      </w:r>
    </w:p>
    <w:p w14:paraId="63C570C4">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5.同意向贵方提供贵方可能另外要求的与磋商采购有关的任何证据或资料，并保证我方已提供和将要提供的文件是真实的、准确的。</w:t>
      </w:r>
    </w:p>
    <w:p w14:paraId="081CB11B">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6.一旦我方成交，我方将根据磋商文件的规定，严格履行合同的责任和义务，并保证在磋商文件规定的时间完成项目，交付买方验收、使用。</w:t>
      </w:r>
    </w:p>
    <w:p w14:paraId="000C68F2">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7.遵守磋商文件中要求的收费项目和标准。</w:t>
      </w:r>
    </w:p>
    <w:p w14:paraId="768A4C96">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8.与本磋商采购有关的正式通讯地址为：</w:t>
      </w:r>
    </w:p>
    <w:p w14:paraId="01037B43">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                                邮 编：</w:t>
      </w:r>
    </w:p>
    <w:p w14:paraId="4B4D008E">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                                传 真：</w:t>
      </w:r>
    </w:p>
    <w:p w14:paraId="05B28C20">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供应商开户行：                         账 户： </w:t>
      </w:r>
    </w:p>
    <w:p w14:paraId="5712C058">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法定代表人或授权代表姓名（签字）：     联系电话：</w:t>
      </w:r>
    </w:p>
    <w:p w14:paraId="68B92EE5">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供应商名称（公章）：            </w:t>
      </w:r>
    </w:p>
    <w:p w14:paraId="45F4F017">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 期：________年____月____日</w:t>
      </w:r>
    </w:p>
    <w:p w14:paraId="60B8ACE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BE97ADA">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FCAF9CD">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2C0C492">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02AB8A54">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64A447C">
      <w:pPr>
        <w:pageBreakBefore w:val="0"/>
        <w:overflowPunct/>
        <w:topLinePunct w:val="0"/>
        <w:bidi w:val="0"/>
        <w:spacing w:line="360" w:lineRule="auto"/>
        <w:ind w:firstLine="482" w:firstLineChars="20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 格 声 明</w:t>
      </w:r>
    </w:p>
    <w:p w14:paraId="0C186350">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1、名称及其它情况：</w:t>
      </w:r>
    </w:p>
    <w:p w14:paraId="217B2E28">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（1）供应商名称：</w:t>
      </w:r>
    </w:p>
    <w:p w14:paraId="137A0943">
      <w:pPr>
        <w:pageBreakBefore w:val="0"/>
        <w:tabs>
          <w:tab w:val="left" w:pos="4530"/>
        </w:tabs>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邮编：</w:t>
      </w:r>
    </w:p>
    <w:p w14:paraId="16B29208">
      <w:pPr>
        <w:pageBreakBefore w:val="0"/>
        <w:tabs>
          <w:tab w:val="left" w:pos="600"/>
          <w:tab w:val="left" w:pos="4320"/>
        </w:tabs>
        <w:overflowPunct/>
        <w:topLinePunct w:val="0"/>
        <w:bidi w:val="0"/>
        <w:spacing w:line="360" w:lineRule="auto"/>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       传真：</w:t>
      </w:r>
    </w:p>
    <w:p w14:paraId="2029F7D5">
      <w:pPr>
        <w:pageBreakBefore w:val="0"/>
        <w:overflowPunct/>
        <w:topLinePunct w:val="0"/>
        <w:bidi w:val="0"/>
        <w:spacing w:line="36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（3）成立和/或注册日期：</w:t>
      </w:r>
    </w:p>
    <w:p w14:paraId="17AFBD79">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（4）法定代表人：</w:t>
      </w:r>
    </w:p>
    <w:p w14:paraId="289C443E">
      <w:pPr>
        <w:pageBreakBefore w:val="0"/>
        <w:overflowPunct/>
        <w:topLinePunct w:val="0"/>
        <w:bidi w:val="0"/>
        <w:spacing w:line="36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（5）实收资本：</w:t>
      </w:r>
    </w:p>
    <w:p w14:paraId="1E17758E">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（6）近期资产负债表：（到</w:t>
      </w:r>
      <w:r>
        <w:rPr>
          <w:rFonts w:hint="eastAsia" w:asciiTheme="majorEastAsia" w:hAnsiTheme="majorEastAsia" w:eastAsiaTheme="majorEastAsia" w:cstheme="majorEastAsia"/>
          <w:sz w:val="24"/>
          <w:szCs w:val="24"/>
          <w:u w:val="single"/>
        </w:rPr>
        <w:t>20  年  月  日</w:t>
      </w:r>
      <w:r>
        <w:rPr>
          <w:rFonts w:hint="eastAsia" w:asciiTheme="majorEastAsia" w:hAnsiTheme="majorEastAsia" w:eastAsiaTheme="majorEastAsia" w:cstheme="majorEastAsia"/>
          <w:sz w:val="24"/>
          <w:szCs w:val="24"/>
        </w:rPr>
        <w:t>）</w:t>
      </w:r>
    </w:p>
    <w:p w14:paraId="24A4A3BC">
      <w:pPr>
        <w:pageBreakBefore w:val="0"/>
        <w:overflowPunct/>
        <w:topLinePunct w:val="0"/>
        <w:bidi w:val="0"/>
        <w:spacing w:line="360" w:lineRule="auto"/>
        <w:ind w:firstLine="2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&lt;1&gt; 固定资产：</w:t>
      </w:r>
    </w:p>
    <w:p w14:paraId="6FC533F4">
      <w:pPr>
        <w:pageBreakBefore w:val="0"/>
        <w:overflowPunct/>
        <w:topLinePunct w:val="0"/>
        <w:bidi w:val="0"/>
        <w:spacing w:line="360" w:lineRule="auto"/>
        <w:ind w:firstLine="2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&lt;2&gt; 流动资金：</w:t>
      </w:r>
    </w:p>
    <w:p w14:paraId="17B1F2A2">
      <w:pPr>
        <w:pageBreakBefore w:val="0"/>
        <w:overflowPunct/>
        <w:topLinePunct w:val="0"/>
        <w:bidi w:val="0"/>
        <w:spacing w:line="360" w:lineRule="auto"/>
        <w:ind w:firstLine="2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&lt;3&gt; 长期负债：</w:t>
      </w:r>
    </w:p>
    <w:p w14:paraId="284586A2">
      <w:pPr>
        <w:pageBreakBefore w:val="0"/>
        <w:overflowPunct/>
        <w:topLinePunct w:val="0"/>
        <w:bidi w:val="0"/>
        <w:spacing w:line="360" w:lineRule="auto"/>
        <w:ind w:firstLine="2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&lt;4&gt; 短期负债：</w:t>
      </w:r>
    </w:p>
    <w:p w14:paraId="08A2755A">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2、近三年同类货物和服务的主要销售业绩（无有效联系人、联系方式和合同复印件的视为未填报本项目）：</w:t>
      </w:r>
    </w:p>
    <w:tbl>
      <w:tblPr>
        <w:tblStyle w:val="15"/>
        <w:tblW w:w="8522" w:type="dxa"/>
        <w:tblInd w:w="0" w:type="dxa"/>
        <w:tblLayout w:type="fixed"/>
        <w:tblCellMar>
          <w:top w:w="0" w:type="dxa"/>
          <w:left w:w="108" w:type="dxa"/>
          <w:bottom w:w="0" w:type="dxa"/>
          <w:right w:w="108" w:type="dxa"/>
        </w:tblCellMar>
      </w:tblPr>
      <w:tblGrid>
        <w:gridCol w:w="4271"/>
        <w:gridCol w:w="4251"/>
      </w:tblGrid>
      <w:tr w14:paraId="5227483D">
        <w:tblPrEx>
          <w:tblCellMar>
            <w:top w:w="0" w:type="dxa"/>
            <w:left w:w="108" w:type="dxa"/>
            <w:bottom w:w="0" w:type="dxa"/>
            <w:right w:w="108" w:type="dxa"/>
          </w:tblCellMar>
        </w:tblPrEx>
        <w:tc>
          <w:tcPr>
            <w:tcW w:w="4271" w:type="dxa"/>
            <w:noWrap w:val="0"/>
            <w:vAlign w:val="top"/>
          </w:tcPr>
          <w:p w14:paraId="65762051">
            <w:pPr>
              <w:pageBreakBefore w:val="0"/>
              <w:overflowPunct/>
              <w:topLinePunct w:val="0"/>
              <w:bidi w:val="0"/>
              <w:spacing w:line="360" w:lineRule="auto"/>
              <w:jc w:val="center"/>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single"/>
              </w:rPr>
              <w:t>甲方名称、联系人、联系方式</w:t>
            </w:r>
          </w:p>
        </w:tc>
        <w:tc>
          <w:tcPr>
            <w:tcW w:w="4251" w:type="dxa"/>
            <w:noWrap w:val="0"/>
            <w:vAlign w:val="top"/>
          </w:tcPr>
          <w:p w14:paraId="1A450834">
            <w:pPr>
              <w:pageBreakBefore w:val="0"/>
              <w:overflowPunct/>
              <w:topLinePunct w:val="0"/>
              <w:bidi w:val="0"/>
              <w:spacing w:line="360" w:lineRule="auto"/>
              <w:jc w:val="center"/>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single"/>
              </w:rPr>
              <w:t>项   目   名   称</w:t>
            </w:r>
          </w:p>
        </w:tc>
      </w:tr>
    </w:tbl>
    <w:p w14:paraId="05103249">
      <w:pPr>
        <w:pageBreakBefore w:val="0"/>
        <w:overflowPunct/>
        <w:topLinePunct w:val="0"/>
        <w:bidi w:val="0"/>
        <w:spacing w:line="360" w:lineRule="auto"/>
        <w:ind w:left="410" w:hanging="410"/>
        <w:rPr>
          <w:rFonts w:hint="eastAsia" w:asciiTheme="majorEastAsia" w:hAnsiTheme="majorEastAsia" w:eastAsiaTheme="majorEastAsia" w:cstheme="majorEastAsia"/>
          <w:sz w:val="24"/>
          <w:szCs w:val="24"/>
        </w:rPr>
      </w:pPr>
    </w:p>
    <w:p w14:paraId="0C43BEEC">
      <w:pPr>
        <w:pageBreakBefore w:val="0"/>
        <w:overflowPunct/>
        <w:topLinePunct w:val="0"/>
        <w:bidi w:val="0"/>
        <w:spacing w:line="360" w:lineRule="auto"/>
        <w:ind w:left="410" w:hanging="41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3、本次采购要求的其他资格文件以及供应商认为需要声明的其他情况：</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p>
    <w:p w14:paraId="1F984536">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兹证明上述</w:t>
      </w:r>
      <w:r>
        <w:rPr>
          <w:rFonts w:hint="eastAsia" w:asciiTheme="majorEastAsia" w:hAnsiTheme="majorEastAsia" w:eastAsiaTheme="majorEastAsia" w:cstheme="majorEastAsia"/>
          <w:color w:val="000000"/>
          <w:sz w:val="24"/>
          <w:szCs w:val="24"/>
        </w:rPr>
        <w:t>声明是真实的、正确的，并提供了全部能提供的资料和数据，我们同意遵照贵方要求出示有关证明文件，如有虚假，自愿丧失中标资格，一年内退出扬州采购市场。</w:t>
      </w:r>
    </w:p>
    <w:p w14:paraId="0370EECD">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供应商公章：</w:t>
      </w:r>
    </w:p>
    <w:p w14:paraId="3E454870">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法定代表人或授权代表签字：</w:t>
      </w:r>
    </w:p>
    <w:p w14:paraId="0F13F134">
      <w:pPr>
        <w:pageBreakBefore w:val="0"/>
        <w:overflowPunct/>
        <w:topLinePunct w:val="0"/>
        <w:bidi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日期：年 月 日        </w:t>
      </w:r>
    </w:p>
    <w:p w14:paraId="07FFCBCC">
      <w:pPr>
        <w:pageBreakBefore w:val="0"/>
        <w:overflowPunct/>
        <w:topLinePunct w:val="0"/>
        <w:bidi w:val="0"/>
        <w:spacing w:line="360" w:lineRule="auto"/>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（注：资格声明为格式文件,实质性内容请勿修改，否则将导致投标文件无效）</w:t>
      </w:r>
    </w:p>
    <w:p w14:paraId="3D04990A">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2C456B65">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5495E81D">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6F30D02">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94B9C94">
      <w:pPr>
        <w:pStyle w:val="23"/>
        <w:pageBreakBefore w:val="0"/>
        <w:overflowPunct/>
        <w:topLinePunct w:val="0"/>
        <w:bidi w:val="0"/>
        <w:spacing w:line="360" w:lineRule="auto"/>
        <w:ind w:firstLine="42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法人授权书</w:t>
      </w:r>
    </w:p>
    <w:p w14:paraId="1DD7C685">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书声明：________________（供应商名称）授权________________（被授权人的姓名）为我方就氧气负压空气中心医用气体设备全保服务项目采购活动的合法代理人，以本公司名义全权处理一切与该项目采购有关的事务。</w:t>
      </w:r>
    </w:p>
    <w:p w14:paraId="4172BECD">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本授权书于______年____月____日起生效，特此声明。</w:t>
      </w:r>
    </w:p>
    <w:p w14:paraId="37BE1B7E">
      <w:pPr>
        <w:pStyle w:val="23"/>
        <w:pageBreakBefore w:val="0"/>
        <w:overflowPunct/>
        <w:topLinePunct w:val="0"/>
        <w:bidi w:val="0"/>
        <w:spacing w:line="360" w:lineRule="auto"/>
        <w:ind w:firstLine="0" w:firstLineChars="0"/>
        <w:rPr>
          <w:rFonts w:hint="eastAsia" w:asciiTheme="majorEastAsia" w:hAnsiTheme="majorEastAsia" w:eastAsiaTheme="majorEastAsia" w:cstheme="majorEastAsia"/>
          <w:sz w:val="24"/>
          <w:szCs w:val="24"/>
        </w:rPr>
      </w:pPr>
    </w:p>
    <w:p w14:paraId="1BF9AE07">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被授权人签字：_______________________</w:t>
      </w:r>
    </w:p>
    <w:p w14:paraId="33E48AC2">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联系电话（手机）：</w:t>
      </w:r>
    </w:p>
    <w:p w14:paraId="1A812B9D">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单位名称：____________________________________</w:t>
      </w:r>
    </w:p>
    <w:p w14:paraId="7ED4A626">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授权单位盖章：_________________________________</w:t>
      </w:r>
    </w:p>
    <w:p w14:paraId="0A37E161">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地址：</w:t>
      </w:r>
    </w:p>
    <w:p w14:paraId="019A32BD">
      <w:pPr>
        <w:pStyle w:val="23"/>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w:t>
      </w:r>
    </w:p>
    <w:p w14:paraId="16EEE9A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30CD299">
      <w:pPr>
        <w:pageBreakBefore w:val="0"/>
        <w:overflowPunct/>
        <w:topLinePunct w:val="0"/>
        <w:bidi w:val="0"/>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法定代表人及授权代表身份证复印件</w:t>
      </w:r>
    </w:p>
    <w:p w14:paraId="49923943">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640A9A86">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27ADF33">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378382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43AE4E9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AF6355A">
      <w:pPr>
        <w:pStyle w:val="19"/>
        <w:pageBreakBefore w:val="0"/>
        <w:overflowPunct/>
        <w:topLinePunct w:val="0"/>
        <w:bidi w:val="0"/>
        <w:spacing w:line="360" w:lineRule="auto"/>
        <w:rPr>
          <w:rFonts w:hint="eastAsia" w:asciiTheme="majorEastAsia" w:hAnsiTheme="majorEastAsia" w:eastAsiaTheme="majorEastAsia" w:cstheme="majorEastAsia"/>
          <w:sz w:val="24"/>
          <w:szCs w:val="24"/>
        </w:rPr>
      </w:pPr>
    </w:p>
    <w:p w14:paraId="4A120F52">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66FC1067">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008241AA">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AB909DA">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D4B6E69">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93A451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F90C104">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ab/>
      </w:r>
    </w:p>
    <w:p w14:paraId="63C85115">
      <w:pPr>
        <w:pageBreakBefore w:val="0"/>
        <w:overflowPunct/>
        <w:topLinePunct w:val="0"/>
        <w:bidi w:val="0"/>
        <w:spacing w:line="360" w:lineRule="auto"/>
        <w:rPr>
          <w:rFonts w:hint="eastAsia" w:asciiTheme="majorEastAsia" w:hAnsiTheme="majorEastAsia" w:eastAsiaTheme="majorEastAsia" w:cstheme="majorEastAsia"/>
          <w:b/>
          <w:bCs/>
          <w:sz w:val="24"/>
          <w:szCs w:val="24"/>
        </w:rPr>
      </w:pPr>
    </w:p>
    <w:p w14:paraId="454DF4DF">
      <w:pPr>
        <w:pageBreakBefore w:val="0"/>
        <w:overflowPunct/>
        <w:topLinePunct w:val="0"/>
        <w:bidi w:val="0"/>
        <w:spacing w:line="360" w:lineRule="auto"/>
        <w:jc w:val="both"/>
        <w:rPr>
          <w:rFonts w:hint="eastAsia" w:asciiTheme="majorEastAsia" w:hAnsiTheme="majorEastAsia" w:eastAsiaTheme="majorEastAsia" w:cstheme="majorEastAsia"/>
          <w:b/>
          <w:bCs/>
          <w:sz w:val="24"/>
          <w:szCs w:val="24"/>
        </w:rPr>
      </w:pPr>
    </w:p>
    <w:p w14:paraId="43A67BB6">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供应商信用承诺书</w:t>
      </w:r>
    </w:p>
    <w:p w14:paraId="4D73B80C">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承诺主体名称：</w:t>
      </w:r>
    </w:p>
    <w:p w14:paraId="633B6264">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统一社会信用代码：</w:t>
      </w:r>
    </w:p>
    <w:p w14:paraId="1896B93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为维护公平竞争、规范有序的市场秩序，营造诚实守信的信用环境，共同推进社会信用体系建设完善，树立企业诚信守法形象，本企业对___________项目政府采购活动郑重承诺如下:</w:t>
      </w:r>
    </w:p>
    <w:p w14:paraId="6C18BC62">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一、对提供给注册登记部门、行业管理部门、司法部门、行业组织以及在政府采购活动中提交的所有资料的合法性、真实性、准确性和有效性负责；</w:t>
      </w:r>
    </w:p>
    <w:p w14:paraId="6610C118">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二、严格按照国家法律、法规和规章开展采购活动，全面履行应尽的责任和义务，全面做到履约守信，具备《中华人民共和国政府采购法》第二十二条第一款规定的条件;</w:t>
      </w:r>
    </w:p>
    <w:p w14:paraId="52763815">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三、严格依法开展生产经营活动，主动接受行业监管，自愿接受依法开展的日常检查；违法失信经营后将自愿接受约束和惩戒，并依法承担相应责任；</w:t>
      </w:r>
    </w:p>
    <w:p w14:paraId="5BF029CC">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四、自觉接受行政管理部门、行业组织、社会公众、新闻舆论的监督；</w:t>
      </w:r>
    </w:p>
    <w:p w14:paraId="19D866E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五、自觉做到自我约束、自我管理，不制假售假、商标侵权、虚假宣传、违约毁约、恶意逃债、偷税漏税、垄断和不正当竞争，维护经营者、消费者的合法权益；</w:t>
      </w:r>
    </w:p>
    <w:p w14:paraId="275E1EEF">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六、提出政府采购质疑和投诉坚持依法依规、诚实信用原则，在全国范围12个月内没有三次以上查无实据的政府采购投诉；</w:t>
      </w:r>
    </w:p>
    <w:p w14:paraId="7BDC96D3">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七、严格遵守信用信息公示相关规定，向社会公示信用信息；</w:t>
      </w:r>
    </w:p>
    <w:p w14:paraId="1276EAA4">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八、在“信用中国”和“中国政府采购网”网站中无违法违规、较重或严重失信记录；</w:t>
      </w:r>
    </w:p>
    <w:p w14:paraId="246C1736">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九、如违反承诺，自愿接受管理部门依法给予的行政处罚，同意将违反承诺的行为作为不良记录记入信用档案，依法依规进行信息公示，并承担所产生的一切法律责任和经济损失。</w:t>
      </w:r>
    </w:p>
    <w:p w14:paraId="0F58E241">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十、本承诺书自签订之日起生效。</w:t>
      </w:r>
    </w:p>
    <w:p w14:paraId="2E5E62CC">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（注：法定代表人或负责人、主体名称发生变更的应当重新做出承诺。）</w:t>
      </w:r>
    </w:p>
    <w:p w14:paraId="0EC2FEBD">
      <w:pPr>
        <w:pageBreakBefore w:val="0"/>
        <w:overflowPunct/>
        <w:topLinePunct w:val="0"/>
        <w:bidi w:val="0"/>
        <w:spacing w:line="360" w:lineRule="auto"/>
        <w:ind w:firstLine="960" w:firstLineChars="4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承诺单位（签章）：           </w:t>
      </w:r>
    </w:p>
    <w:p w14:paraId="32188E90">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法定代表人（负责人）：</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    月    日</w:t>
      </w:r>
    </w:p>
    <w:p w14:paraId="6D7A26AE">
      <w:pPr>
        <w:pageBreakBefore w:val="0"/>
        <w:overflowPunct/>
        <w:topLinePunct w:val="0"/>
        <w:bidi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br w:type="page"/>
      </w:r>
    </w:p>
    <w:p w14:paraId="024D5BE3">
      <w:pPr>
        <w:pageBreakBefore w:val="0"/>
        <w:overflowPunct/>
        <w:topLinePunct w:val="0"/>
        <w:bidi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声  明   </w:t>
      </w:r>
    </w:p>
    <w:p w14:paraId="2597507F">
      <w:pPr>
        <w:pageBreakBefore w:val="0"/>
        <w:overflowPunct/>
        <w:topLinePunct w:val="0"/>
        <w:bidi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我公司郑重声明：参加本次采购活动前 3 年内，我公司在经营活动中没有因违法经营受到刑事处罚或者责令停产停业、吊销许可证或者执照、较大数额罚款等行政处罚。</w:t>
      </w:r>
    </w:p>
    <w:p w14:paraId="45791666">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453B16D3">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51CDA75">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9CDF36E">
      <w:pPr>
        <w:pageBreakBefore w:val="0"/>
        <w:overflowPunct/>
        <w:topLinePunct w:val="0"/>
        <w:bidi w:val="0"/>
        <w:spacing w:line="360" w:lineRule="auto"/>
        <w:ind w:left="4200" w:leftChars="0" w:firstLine="42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供应商名称（公章）：</w:t>
      </w:r>
    </w:p>
    <w:p w14:paraId="3D530614">
      <w:pPr>
        <w:pageBreakBefore w:val="0"/>
        <w:overflowPunct/>
        <w:topLinePunct w:val="0"/>
        <w:bidi w:val="0"/>
        <w:spacing w:line="360" w:lineRule="auto"/>
        <w:ind w:left="4200" w:leftChars="0" w:firstLine="420" w:firstLineChars="0"/>
        <w:rPr>
          <w:rFonts w:hint="eastAsia"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bCs/>
          <w:sz w:val="24"/>
          <w:szCs w:val="24"/>
        </w:rPr>
        <w:t>法定代表人或授权代表签字：</w:t>
      </w:r>
      <w:r>
        <w:rPr>
          <w:rFonts w:hint="eastAsia" w:asciiTheme="majorEastAsia" w:hAnsiTheme="majorEastAsia" w:eastAsiaTheme="majorEastAsia" w:cstheme="majorEastAsia"/>
          <w:bCs/>
          <w:sz w:val="24"/>
          <w:szCs w:val="24"/>
          <w:u w:val="single"/>
        </w:rPr>
        <w:t>_____</w:t>
      </w:r>
    </w:p>
    <w:p w14:paraId="64FDE840">
      <w:pPr>
        <w:pageBreakBefore w:val="0"/>
        <w:overflowPunct/>
        <w:topLinePunct w:val="0"/>
        <w:bidi w:val="0"/>
        <w:spacing w:line="360" w:lineRule="auto"/>
        <w:ind w:left="4200" w:leftChars="0" w:firstLine="42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日期：</w:t>
      </w:r>
      <w:r>
        <w:rPr>
          <w:rFonts w:hint="eastAsia" w:asciiTheme="majorEastAsia" w:hAnsiTheme="majorEastAsia" w:eastAsiaTheme="majorEastAsia" w:cstheme="majorEastAsia"/>
          <w:bCs/>
          <w:sz w:val="24"/>
          <w:szCs w:val="24"/>
          <w:u w:val="single"/>
        </w:rPr>
        <w:t>______</w:t>
      </w:r>
      <w:r>
        <w:rPr>
          <w:rFonts w:hint="eastAsia" w:asciiTheme="majorEastAsia" w:hAnsiTheme="majorEastAsia" w:eastAsiaTheme="majorEastAsia" w:cstheme="majorEastAsia"/>
          <w:bCs/>
          <w:sz w:val="24"/>
          <w:szCs w:val="24"/>
        </w:rPr>
        <w:t>年月日</w:t>
      </w:r>
    </w:p>
    <w:p w14:paraId="6B1B9B2E">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3BA2423">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2F62D61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0460CD17">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68EFBCE1">
      <w:pPr>
        <w:pageBreakBefore w:val="0"/>
        <w:overflowPunct/>
        <w:topLinePunct w:val="0"/>
        <w:bidi w:val="0"/>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                                        </w:t>
      </w:r>
    </w:p>
    <w:p w14:paraId="3CEA52A5">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2D6453A7">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236DD785">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78B7CC3">
      <w:pPr>
        <w:pStyle w:val="19"/>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423A975">
      <w:pPr>
        <w:pStyle w:val="19"/>
        <w:pageBreakBefore w:val="0"/>
        <w:overflowPunct/>
        <w:topLinePunct w:val="0"/>
        <w:bidi w:val="0"/>
        <w:spacing w:line="360" w:lineRule="auto"/>
        <w:rPr>
          <w:rFonts w:hint="eastAsia" w:asciiTheme="majorEastAsia" w:hAnsiTheme="majorEastAsia" w:eastAsiaTheme="majorEastAsia" w:cstheme="majorEastAsia"/>
          <w:sz w:val="24"/>
          <w:szCs w:val="24"/>
        </w:rPr>
      </w:pPr>
    </w:p>
    <w:p w14:paraId="5BEABE52">
      <w:pPr>
        <w:pStyle w:val="19"/>
        <w:pageBreakBefore w:val="0"/>
        <w:overflowPunct/>
        <w:topLinePunct w:val="0"/>
        <w:bidi w:val="0"/>
        <w:spacing w:line="360" w:lineRule="auto"/>
        <w:rPr>
          <w:rFonts w:hint="eastAsia" w:asciiTheme="majorEastAsia" w:hAnsiTheme="majorEastAsia" w:eastAsiaTheme="majorEastAsia" w:cstheme="majorEastAsia"/>
          <w:sz w:val="24"/>
          <w:szCs w:val="24"/>
        </w:rPr>
      </w:pPr>
    </w:p>
    <w:p w14:paraId="41578140">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00D1A219">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E754A58">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2A3AB5C">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08760A0D">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FF95B02">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5E94A98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A3943FE">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D4370D0">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三、磋商响应报价表</w:t>
      </w:r>
    </w:p>
    <w:p w14:paraId="6F4CA243">
      <w:pPr>
        <w:pageBreakBefore w:val="0"/>
        <w:overflowPunct/>
        <w:topLinePunct w:val="0"/>
        <w:bidi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供应商全称（加盖公章）：</w:t>
      </w:r>
    </w:p>
    <w:p w14:paraId="604E9F81">
      <w:pPr>
        <w:pageBreakBefore w:val="0"/>
        <w:overflowPunct/>
        <w:topLinePunct w:val="0"/>
        <w:bidi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                                     项目编号：</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5883"/>
      </w:tblGrid>
      <w:tr w14:paraId="6F26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3466A342">
            <w:pPr>
              <w:pStyle w:val="6"/>
              <w:pageBreakBefore w:val="0"/>
              <w:overflowPunct/>
              <w:topLinePunct w:val="0"/>
              <w:bidi w:val="0"/>
              <w:adjustRightInd w:val="0"/>
              <w:snapToGrid w:val="0"/>
              <w:spacing w:line="360" w:lineRule="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 xml:space="preserve">  服务项目名称</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390E0D00">
            <w:pPr>
              <w:pageBreakBefore w:val="0"/>
              <w:overflowPunct/>
              <w:topLinePunct w:val="0"/>
              <w:bidi w:val="0"/>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投标总报价</w:t>
            </w:r>
          </w:p>
        </w:tc>
      </w:tr>
      <w:tr w14:paraId="580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599AD058">
            <w:pPr>
              <w:pStyle w:val="6"/>
              <w:pageBreakBefore w:val="0"/>
              <w:overflowPunct/>
              <w:topLinePunct w:val="0"/>
              <w:bidi w:val="0"/>
              <w:adjustRightInd w:val="0"/>
              <w:snapToGrid w:val="0"/>
              <w:spacing w:line="360" w:lineRule="auto"/>
              <w:rPr>
                <w:rFonts w:hint="eastAsia" w:asciiTheme="majorEastAsia" w:hAnsiTheme="majorEastAsia" w:eastAsiaTheme="majorEastAsia" w:cstheme="majorEastAsia"/>
                <w:kern w:val="2"/>
                <w:sz w:val="24"/>
                <w:szCs w:val="24"/>
              </w:rPr>
            </w:pPr>
          </w:p>
        </w:tc>
        <w:tc>
          <w:tcPr>
            <w:tcW w:w="5883" w:type="dxa"/>
            <w:tcBorders>
              <w:top w:val="single" w:color="auto" w:sz="4" w:space="0"/>
              <w:left w:val="single" w:color="auto" w:sz="4" w:space="0"/>
              <w:bottom w:val="single" w:color="auto" w:sz="4" w:space="0"/>
              <w:right w:val="single" w:color="auto" w:sz="4" w:space="0"/>
            </w:tcBorders>
            <w:noWrap w:val="0"/>
            <w:vAlign w:val="center"/>
          </w:tcPr>
          <w:p w14:paraId="343BDD31">
            <w:pPr>
              <w:pStyle w:val="6"/>
              <w:pageBreakBefore w:val="0"/>
              <w:overflowPunct/>
              <w:topLinePunct w:val="0"/>
              <w:bidi w:val="0"/>
              <w:adjustRightInd w:val="0"/>
              <w:snapToGrid w:val="0"/>
              <w:spacing w:line="360" w:lineRule="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大写：</w:t>
            </w:r>
          </w:p>
          <w:p w14:paraId="2A18F33B">
            <w:pPr>
              <w:pStyle w:val="20"/>
              <w:pageBreakBefore w:val="0"/>
              <w:overflowPunct/>
              <w:topLinePunct w:val="0"/>
              <w:bidi w:val="0"/>
              <w:spacing w:before="0" w:after="0" w:line="360" w:lineRule="auto"/>
              <w:ind w:firstLine="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小写：                             （人民币：元）</w:t>
            </w:r>
          </w:p>
        </w:tc>
      </w:tr>
      <w:tr w14:paraId="5523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0801AC91">
            <w:pPr>
              <w:pStyle w:val="6"/>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服务周期</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698E5585">
            <w:pPr>
              <w:pStyle w:val="6"/>
              <w:pageBreakBefore w:val="0"/>
              <w:overflowPunct/>
              <w:topLinePunct w:val="0"/>
              <w:bidi w:val="0"/>
              <w:adjustRightInd w:val="0"/>
              <w:snapToGrid w:val="0"/>
              <w:spacing w:line="360" w:lineRule="auto"/>
              <w:ind w:firstLine="1560" w:firstLineChars="650"/>
              <w:rPr>
                <w:rFonts w:hint="eastAsia" w:asciiTheme="majorEastAsia" w:hAnsiTheme="majorEastAsia" w:eastAsiaTheme="majorEastAsia" w:cstheme="majorEastAsia"/>
                <w:kern w:val="2"/>
                <w:sz w:val="24"/>
                <w:szCs w:val="24"/>
              </w:rPr>
            </w:pPr>
          </w:p>
        </w:tc>
      </w:tr>
    </w:tbl>
    <w:p w14:paraId="4516D059">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3267430">
      <w:pPr>
        <w:pageBreakBefore w:val="0"/>
        <w:overflowPunct/>
        <w:topLinePunct w:val="0"/>
        <w:bidi w:val="0"/>
        <w:spacing w:line="360" w:lineRule="auto"/>
        <w:ind w:firstLine="48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w:t>
      </w:r>
    </w:p>
    <w:p w14:paraId="6FD84627">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p>
    <w:p w14:paraId="58554B0D">
      <w:pPr>
        <w:pageBreakBefore w:val="0"/>
        <w:overflowPunct/>
        <w:topLinePunct w:val="0"/>
        <w:bidi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填写说明：</w:t>
      </w:r>
    </w:p>
    <w:p w14:paraId="022EED47">
      <w:pPr>
        <w:pageBreakBefore w:val="0"/>
        <w:overflowPunct/>
        <w:topLinePunct w:val="0"/>
        <w:bidi w:val="0"/>
        <w:spacing w:line="360" w:lineRule="auto"/>
        <w:ind w:firstLine="480"/>
        <w:rPr>
          <w:rFonts w:hint="eastAsia" w:asciiTheme="majorEastAsia" w:hAnsiTheme="majorEastAsia" w:eastAsiaTheme="majorEastAsia" w:cstheme="majorEastAsia"/>
          <w:i/>
          <w:sz w:val="24"/>
          <w:szCs w:val="24"/>
          <w:u w:val="single"/>
        </w:rPr>
      </w:pPr>
      <w:r>
        <w:rPr>
          <w:rFonts w:hint="eastAsia" w:asciiTheme="majorEastAsia" w:hAnsiTheme="majorEastAsia" w:eastAsiaTheme="majorEastAsia" w:cstheme="majorEastAsia"/>
          <w:i/>
          <w:sz w:val="24"/>
          <w:szCs w:val="24"/>
        </w:rPr>
        <w:t>1、</w:t>
      </w:r>
      <w:r>
        <w:rPr>
          <w:rFonts w:hint="eastAsia" w:asciiTheme="majorEastAsia" w:hAnsiTheme="majorEastAsia" w:eastAsiaTheme="majorEastAsia" w:cstheme="majorEastAsia"/>
          <w:i/>
          <w:sz w:val="24"/>
          <w:szCs w:val="24"/>
          <w:u w:val="single"/>
        </w:rPr>
        <w:t>磋商响应报价表除投标外，必须单独一份密封在信封中，在投标截止时间前与投标文件分别递交，否则视为无效投标。</w:t>
      </w:r>
    </w:p>
    <w:p w14:paraId="72CFAB1D">
      <w:pPr>
        <w:pageBreakBefore w:val="0"/>
        <w:overflowPunct/>
        <w:topLinePunct w:val="0"/>
        <w:bidi w:val="0"/>
        <w:spacing w:line="360" w:lineRule="auto"/>
        <w:ind w:firstLine="480" w:firstLineChars="200"/>
        <w:rPr>
          <w:rFonts w:hint="eastAsia" w:asciiTheme="majorEastAsia" w:hAnsiTheme="majorEastAsia" w:eastAsiaTheme="majorEastAsia" w:cstheme="majorEastAsia"/>
          <w:i/>
          <w:sz w:val="24"/>
          <w:szCs w:val="24"/>
        </w:rPr>
      </w:pPr>
      <w:r>
        <w:rPr>
          <w:rFonts w:hint="eastAsia" w:asciiTheme="majorEastAsia" w:hAnsiTheme="majorEastAsia" w:eastAsiaTheme="majorEastAsia" w:cstheme="majorEastAsia"/>
          <w:i/>
          <w:sz w:val="24"/>
          <w:szCs w:val="24"/>
        </w:rPr>
        <w:t>2、</w:t>
      </w:r>
      <w:r>
        <w:rPr>
          <w:rFonts w:hint="eastAsia" w:asciiTheme="majorEastAsia" w:hAnsiTheme="majorEastAsia" w:eastAsiaTheme="majorEastAsia" w:cstheme="majorEastAsia"/>
          <w:bCs/>
          <w:i/>
          <w:iCs/>
          <w:sz w:val="24"/>
          <w:szCs w:val="24"/>
          <w:u w:val="single"/>
        </w:rPr>
        <w:t>磋商响应报价表必须加盖供应商公章（复印件无效）</w:t>
      </w:r>
      <w:r>
        <w:rPr>
          <w:rFonts w:hint="eastAsia" w:asciiTheme="majorEastAsia" w:hAnsiTheme="majorEastAsia" w:eastAsiaTheme="majorEastAsia" w:cstheme="majorEastAsia"/>
          <w:i/>
          <w:sz w:val="24"/>
          <w:szCs w:val="24"/>
        </w:rPr>
        <w:t>。</w:t>
      </w:r>
    </w:p>
    <w:p w14:paraId="23F4D8FC">
      <w:pPr>
        <w:spacing w:line="360" w:lineRule="auto"/>
        <w:ind w:firstLine="422"/>
        <w:rPr>
          <w:rFonts w:ascii="宋体" w:hAnsi="宋体"/>
          <w:i/>
          <w:iCs w:val="0"/>
          <w:kern w:val="0"/>
          <w:sz w:val="24"/>
          <w:szCs w:val="24"/>
          <w:u w:val="single"/>
        </w:rPr>
      </w:pPr>
      <w:r>
        <w:rPr>
          <w:rFonts w:hint="eastAsia" w:asciiTheme="majorEastAsia" w:hAnsiTheme="majorEastAsia" w:eastAsiaTheme="majorEastAsia" w:cstheme="majorEastAsia"/>
          <w:i/>
          <w:iCs w:val="0"/>
          <w:sz w:val="24"/>
          <w:szCs w:val="24"/>
          <w:u w:val="single"/>
          <w:lang w:val="en-US" w:eastAsia="zh-CN"/>
        </w:rPr>
        <w:t>3</w:t>
      </w:r>
      <w:r>
        <w:rPr>
          <w:rFonts w:ascii="宋体" w:hAnsi="宋体"/>
          <w:i/>
          <w:iCs w:val="0"/>
          <w:kern w:val="0"/>
          <w:sz w:val="24"/>
          <w:szCs w:val="24"/>
          <w:u w:val="single"/>
        </w:rPr>
        <w:t>、</w:t>
      </w:r>
      <w:r>
        <w:rPr>
          <w:rFonts w:hint="eastAsia" w:ascii="宋体" w:hAnsi="宋体"/>
          <w:i/>
          <w:iCs w:val="0"/>
          <w:kern w:val="0"/>
          <w:sz w:val="24"/>
          <w:szCs w:val="24"/>
          <w:u w:val="single"/>
        </w:rPr>
        <w:t>此表的总价中已包含供应商完成本项目的一切费用包括税费</w:t>
      </w:r>
      <w:r>
        <w:rPr>
          <w:rFonts w:ascii="宋体" w:hAnsi="宋体"/>
          <w:i/>
          <w:iCs w:val="0"/>
          <w:kern w:val="0"/>
          <w:sz w:val="24"/>
          <w:szCs w:val="24"/>
          <w:u w:val="single"/>
        </w:rPr>
        <w:t>。</w:t>
      </w:r>
    </w:p>
    <w:p w14:paraId="3A5A746A">
      <w:pPr>
        <w:pageBreakBefore w:val="0"/>
        <w:overflowPunct/>
        <w:topLinePunct w:val="0"/>
        <w:bidi w:val="0"/>
        <w:spacing w:line="360" w:lineRule="auto"/>
        <w:ind w:firstLine="480" w:firstLineChars="200"/>
        <w:rPr>
          <w:rFonts w:hint="default" w:asciiTheme="majorEastAsia" w:hAnsiTheme="majorEastAsia" w:eastAsiaTheme="majorEastAsia" w:cstheme="majorEastAsia"/>
          <w:i/>
          <w:sz w:val="24"/>
          <w:szCs w:val="24"/>
          <w:lang w:val="en-US" w:eastAsia="zh-CN"/>
        </w:rPr>
      </w:pPr>
    </w:p>
    <w:p w14:paraId="3913ADE8">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9F85E5E">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651CE487">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D26724A">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239A5565">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7ED888D">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3C673C2B">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5680678">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7669F091">
      <w:pPr>
        <w:pStyle w:val="18"/>
        <w:pageBreakBefore w:val="0"/>
        <w:overflowPunct/>
        <w:topLinePunct w:val="0"/>
        <w:bidi w:val="0"/>
        <w:spacing w:line="360" w:lineRule="auto"/>
        <w:ind w:left="0" w:leftChars="0" w:firstLine="0" w:firstLineChars="0"/>
        <w:rPr>
          <w:rFonts w:hint="eastAsia" w:asciiTheme="majorEastAsia" w:hAnsiTheme="majorEastAsia" w:eastAsiaTheme="majorEastAsia" w:cstheme="majorEastAsia"/>
          <w:sz w:val="24"/>
          <w:szCs w:val="24"/>
        </w:rPr>
      </w:pPr>
    </w:p>
    <w:p w14:paraId="111AD1AA">
      <w:pPr>
        <w:pageBreakBefore w:val="0"/>
        <w:overflowPunct/>
        <w:topLinePunct w:val="0"/>
        <w:bidi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p>
    <w:p w14:paraId="568413AB">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四、分项报价表</w:t>
      </w:r>
    </w:p>
    <w:p w14:paraId="06FAD352">
      <w:pPr>
        <w:pageBreakBefore w:val="0"/>
        <w:overflowPunct/>
        <w:topLinePunct w:val="0"/>
        <w:bidi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供应商全称（加盖公章）：</w:t>
      </w:r>
    </w:p>
    <w:p w14:paraId="79CF4866">
      <w:pPr>
        <w:pageBreakBefore w:val="0"/>
        <w:overflowPunct/>
        <w:topLinePunct w:val="0"/>
        <w:bidi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sz w:val="24"/>
          <w:szCs w:val="24"/>
        </w:rPr>
        <w:t xml:space="preserve">                                            项目编号：</w:t>
      </w:r>
    </w:p>
    <w:p w14:paraId="60962944">
      <w:pPr>
        <w:pageBreakBefore w:val="0"/>
        <w:overflowPunct/>
        <w:topLinePunct w:val="0"/>
        <w:bidi w:val="0"/>
        <w:spacing w:line="360" w:lineRule="auto"/>
        <w:rPr>
          <w:rFonts w:hint="eastAsia" w:asciiTheme="majorEastAsia" w:hAnsiTheme="majorEastAsia" w:eastAsiaTheme="majorEastAsia" w:cstheme="majorEastAsia"/>
          <w:b/>
          <w:bCs/>
          <w:color w:val="000000"/>
          <w:sz w:val="24"/>
          <w:szCs w:val="24"/>
        </w:rPr>
      </w:pPr>
    </w:p>
    <w:tbl>
      <w:tblPr>
        <w:tblStyle w:val="1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502"/>
        <w:gridCol w:w="2693"/>
      </w:tblGrid>
      <w:tr w14:paraId="49B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15EE6853">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502" w:type="dxa"/>
            <w:tcBorders>
              <w:top w:val="single" w:color="auto" w:sz="4" w:space="0"/>
              <w:left w:val="single" w:color="auto" w:sz="4" w:space="0"/>
              <w:bottom w:val="single" w:color="auto" w:sz="4" w:space="0"/>
              <w:right w:val="single" w:color="auto" w:sz="4" w:space="0"/>
            </w:tcBorders>
            <w:noWrap w:val="0"/>
            <w:vAlign w:val="center"/>
          </w:tcPr>
          <w:p w14:paraId="22649900">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C535373">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r>
      <w:tr w14:paraId="1E79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12122DC5">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服务分项</w:t>
            </w:r>
          </w:p>
        </w:tc>
        <w:tc>
          <w:tcPr>
            <w:tcW w:w="2502" w:type="dxa"/>
            <w:tcBorders>
              <w:top w:val="single" w:color="auto" w:sz="4" w:space="0"/>
              <w:left w:val="single" w:color="auto" w:sz="4" w:space="0"/>
              <w:bottom w:val="single" w:color="auto" w:sz="4" w:space="0"/>
              <w:right w:val="single" w:color="auto" w:sz="4" w:space="0"/>
            </w:tcBorders>
            <w:noWrap w:val="0"/>
            <w:vAlign w:val="center"/>
          </w:tcPr>
          <w:p w14:paraId="37EEEB2E">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A0C98AC">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总价</w:t>
            </w:r>
          </w:p>
        </w:tc>
      </w:tr>
      <w:tr w14:paraId="0235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5A2EBED3">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14:paraId="0BBD9B11">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DBB92C4">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3D13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40607D05">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14:paraId="50C8EF33">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5364D8D">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084B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0C73F8E7">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14:paraId="222E974F">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5478816">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0D70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403696CE">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14:paraId="7A0C85E8">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14B037A">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4C12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14:paraId="661CEE57">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合计</w:t>
            </w:r>
          </w:p>
        </w:tc>
        <w:tc>
          <w:tcPr>
            <w:tcW w:w="5195" w:type="dxa"/>
            <w:gridSpan w:val="2"/>
            <w:tcBorders>
              <w:top w:val="single" w:color="auto" w:sz="4" w:space="0"/>
              <w:left w:val="single" w:color="auto" w:sz="4" w:space="0"/>
              <w:bottom w:val="single" w:color="auto" w:sz="4" w:space="0"/>
              <w:right w:val="single" w:color="auto" w:sz="4" w:space="0"/>
            </w:tcBorders>
            <w:noWrap w:val="0"/>
            <w:vAlign w:val="center"/>
          </w:tcPr>
          <w:p w14:paraId="1A7934ED">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bl>
    <w:p w14:paraId="4BB9A4CB">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8DC5826">
      <w:pPr>
        <w:pageBreakBefore w:val="0"/>
        <w:overflowPunct/>
        <w:topLinePunct w:val="0"/>
        <w:bidi w:val="0"/>
        <w:spacing w:line="36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法定代表人或授权代表签字：</w:t>
      </w:r>
    </w:p>
    <w:p w14:paraId="29DCF00E">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sz w:val="24"/>
          <w:szCs w:val="24"/>
        </w:rPr>
        <w:br w:type="page"/>
      </w:r>
      <w:r>
        <w:rPr>
          <w:rFonts w:hint="eastAsia" w:asciiTheme="majorEastAsia" w:hAnsiTheme="majorEastAsia" w:eastAsiaTheme="majorEastAsia" w:cstheme="majorEastAsia"/>
          <w:b/>
          <w:color w:val="000000"/>
          <w:sz w:val="24"/>
          <w:szCs w:val="24"/>
        </w:rPr>
        <w:t>五、技术参数响应及偏离表</w:t>
      </w:r>
    </w:p>
    <w:p w14:paraId="5DBA8381">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14:paraId="5231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1AB5ED1C">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472FBBBC">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招标要求</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4C21AF39">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投标响应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0D10BA3">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超出、符合或偏离</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8B721A8">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原因</w:t>
            </w:r>
          </w:p>
        </w:tc>
      </w:tr>
      <w:tr w14:paraId="501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69CE9F9">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FFB633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7A7DD7B8">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09BA142E">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2063DF94">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23B6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6A4D9D9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4C1C821">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93EF544">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F3625BA">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766300C7">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4221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D214B5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0CF13C17">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19DF5952">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78ECF9F5">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3AEF1937">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079D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256B7FDE">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C376AC8">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78EF8ED3">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A77AE47">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369AE624">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11E0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D82C3FF">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FE09553">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1F4C5AC9">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2808CCA">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4337CB07">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280E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08F80AC">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1C55349F">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433ABB9">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2D93CF5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2BC39DAA">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179B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287EE7A">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8ACE32E">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50301BA">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6F7A85D">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7D283F19">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r w14:paraId="0FEE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599B9F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7D8497F0">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EE80EAC">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2EBE068F">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6F972354">
            <w:pPr>
              <w:pageBreakBefore w:val="0"/>
              <w:overflowPunct/>
              <w:topLinePunct w:val="0"/>
              <w:bidi w:val="0"/>
              <w:adjustRightInd w:val="0"/>
              <w:snapToGrid w:val="0"/>
              <w:spacing w:line="360" w:lineRule="auto"/>
              <w:jc w:val="center"/>
              <w:rPr>
                <w:rFonts w:hint="eastAsia" w:asciiTheme="majorEastAsia" w:hAnsiTheme="majorEastAsia" w:eastAsiaTheme="majorEastAsia" w:cstheme="majorEastAsia"/>
                <w:sz w:val="24"/>
                <w:szCs w:val="24"/>
              </w:rPr>
            </w:pPr>
          </w:p>
        </w:tc>
      </w:tr>
    </w:tbl>
    <w:p w14:paraId="7072D1B9">
      <w:pPr>
        <w:pageBreakBefore w:val="0"/>
        <w:overflowPunct/>
        <w:topLinePunct w:val="0"/>
        <w:bidi w:val="0"/>
        <w:spacing w:line="360" w:lineRule="auto"/>
        <w:rPr>
          <w:rFonts w:hint="eastAsia" w:asciiTheme="majorEastAsia" w:hAnsiTheme="majorEastAsia" w:eastAsiaTheme="majorEastAsia" w:cstheme="majorEastAsia"/>
          <w:kern w:val="0"/>
          <w:sz w:val="24"/>
          <w:szCs w:val="24"/>
        </w:rPr>
      </w:pPr>
    </w:p>
    <w:p w14:paraId="3791463B">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BB678AA">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注：1、按照基本技术要求详细填列。</w:t>
      </w:r>
    </w:p>
    <w:p w14:paraId="78283083">
      <w:pPr>
        <w:pageBreakBefore w:val="0"/>
        <w:overflowPunct/>
        <w:topLinePunct w:val="0"/>
        <w:bidi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2、行数不够，可自行添加。</w:t>
      </w:r>
    </w:p>
    <w:p w14:paraId="4B20859D">
      <w:pPr>
        <w:pageBreakBefore w:val="0"/>
        <w:overflowPunct/>
        <w:topLinePunct w:val="0"/>
        <w:bidi w:val="0"/>
        <w:spacing w:line="360" w:lineRule="auto"/>
        <w:jc w:val="left"/>
        <w:rPr>
          <w:rFonts w:hint="eastAsia" w:asciiTheme="majorEastAsia" w:hAnsiTheme="majorEastAsia" w:eastAsiaTheme="majorEastAsia" w:cstheme="majorEastAsia"/>
          <w:b/>
          <w:sz w:val="24"/>
          <w:szCs w:val="24"/>
        </w:rPr>
      </w:pPr>
    </w:p>
    <w:p w14:paraId="34F00AAF">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p w14:paraId="371C5D6B">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6E1B0994">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6889D73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77297A0D">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0605B7BD">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41FDD83">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4703B93E">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2F1A99CE">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30F536F5">
      <w:pPr>
        <w:pageBreakBefore w:val="0"/>
        <w:overflowPunct/>
        <w:topLinePunct w:val="0"/>
        <w:bidi w:val="0"/>
        <w:spacing w:line="360" w:lineRule="auto"/>
        <w:jc w:val="center"/>
        <w:rPr>
          <w:rFonts w:hint="eastAsia" w:asciiTheme="majorEastAsia" w:hAnsiTheme="majorEastAsia" w:eastAsiaTheme="majorEastAsia" w:cstheme="majorEastAsia"/>
          <w:b/>
          <w:color w:val="000000"/>
          <w:sz w:val="24"/>
          <w:szCs w:val="24"/>
        </w:rPr>
      </w:pPr>
      <w:bookmarkStart w:id="168" w:name="_Toc29594"/>
      <w:r>
        <w:rPr>
          <w:rFonts w:hint="eastAsia" w:asciiTheme="majorEastAsia" w:hAnsiTheme="majorEastAsia" w:eastAsiaTheme="majorEastAsia" w:cstheme="majorEastAsia"/>
          <w:b/>
          <w:color w:val="000000"/>
          <w:sz w:val="24"/>
          <w:szCs w:val="24"/>
        </w:rPr>
        <w:t>六、商务条款响应及偏离表</w:t>
      </w:r>
      <w:bookmarkEnd w:id="168"/>
    </w:p>
    <w:tbl>
      <w:tblPr>
        <w:tblStyle w:val="15"/>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71ADA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14:paraId="71ACB2FA">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项目</w:t>
            </w:r>
          </w:p>
        </w:tc>
        <w:tc>
          <w:tcPr>
            <w:tcW w:w="2502" w:type="dxa"/>
            <w:tcBorders>
              <w:top w:val="single" w:color="auto" w:sz="4" w:space="0"/>
              <w:left w:val="single" w:color="auto" w:sz="4" w:space="0"/>
              <w:bottom w:val="single" w:color="auto" w:sz="4" w:space="0"/>
              <w:right w:val="single" w:color="auto" w:sz="4" w:space="0"/>
            </w:tcBorders>
            <w:noWrap w:val="0"/>
            <w:vAlign w:val="center"/>
          </w:tcPr>
          <w:p w14:paraId="1BDC55B1">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63BC79C">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028C95A3">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供应商的承诺或说明</w:t>
            </w:r>
          </w:p>
        </w:tc>
      </w:tr>
      <w:tr w14:paraId="3BA2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700E774">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服务时间</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1C30219D">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B8807DC">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91EB493">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r>
      <w:tr w14:paraId="4EB30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57954DA">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服务方式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1ECE03C6">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77A2B490">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128C7D69">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r>
      <w:tr w14:paraId="0D6DF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A27599B">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服务地点</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60CDD0D4">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7504D009">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16F721B">
            <w:pPr>
              <w:pageBreakBefore w:val="0"/>
              <w:overflowPunct/>
              <w:topLinePunct w:val="0"/>
              <w:bidi w:val="0"/>
              <w:snapToGrid w:val="0"/>
              <w:spacing w:line="360" w:lineRule="auto"/>
              <w:ind w:left="43"/>
              <w:jc w:val="center"/>
              <w:rPr>
                <w:rFonts w:hint="eastAsia" w:asciiTheme="majorEastAsia" w:hAnsiTheme="majorEastAsia" w:eastAsiaTheme="majorEastAsia" w:cstheme="majorEastAsia"/>
                <w:sz w:val="24"/>
                <w:szCs w:val="24"/>
              </w:rPr>
            </w:pPr>
          </w:p>
        </w:tc>
      </w:tr>
      <w:tr w14:paraId="18A0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FF4A054">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付款方式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255D9309">
            <w:pPr>
              <w:pageBreakBefore w:val="0"/>
              <w:overflowPunct/>
              <w:topLinePunct w:val="0"/>
              <w:bidi w:val="0"/>
              <w:snapToGrid w:val="0"/>
              <w:spacing w:line="360" w:lineRule="auto"/>
              <w:rPr>
                <w:rFonts w:hint="eastAsia" w:asciiTheme="majorEastAsia" w:hAnsiTheme="majorEastAsia" w:eastAsiaTheme="majorEastAsia" w:cstheme="majorEastAsia"/>
                <w:sz w:val="24"/>
                <w:szCs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6C89184D">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4D59EC28">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p>
        </w:tc>
      </w:tr>
      <w:tr w14:paraId="4B0D9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4CB0A6B1">
            <w:pPr>
              <w:pageBreakBefore w:val="0"/>
              <w:overflowPunct/>
              <w:topLinePunct w:val="0"/>
              <w:bidi w:val="0"/>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其他</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35939A38">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B2D2145">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5271CBBA">
            <w:pPr>
              <w:pageBreakBefore w:val="0"/>
              <w:overflowPunct/>
              <w:topLinePunct w:val="0"/>
              <w:bidi w:val="0"/>
              <w:snapToGrid w:val="0"/>
              <w:spacing w:line="360" w:lineRule="auto"/>
              <w:jc w:val="center"/>
              <w:rPr>
                <w:rFonts w:hint="eastAsia" w:asciiTheme="majorEastAsia" w:hAnsiTheme="majorEastAsia" w:eastAsiaTheme="majorEastAsia" w:cstheme="majorEastAsia"/>
                <w:sz w:val="24"/>
                <w:szCs w:val="24"/>
              </w:rPr>
            </w:pPr>
          </w:p>
        </w:tc>
      </w:tr>
    </w:tbl>
    <w:p w14:paraId="765EA432">
      <w:pPr>
        <w:pageBreakBefore w:val="0"/>
        <w:overflowPunct/>
        <w:topLinePunct w:val="0"/>
        <w:bidi w:val="0"/>
        <w:spacing w:line="360" w:lineRule="auto"/>
        <w:rPr>
          <w:rFonts w:hint="eastAsia" w:asciiTheme="majorEastAsia" w:hAnsiTheme="majorEastAsia" w:eastAsiaTheme="majorEastAsia" w:cstheme="majorEastAsia"/>
          <w:sz w:val="24"/>
          <w:szCs w:val="24"/>
        </w:rPr>
      </w:pPr>
      <w:bookmarkStart w:id="169" w:name="_Hlt26671372"/>
      <w:bookmarkEnd w:id="169"/>
      <w:bookmarkStart w:id="170" w:name="_Hlt26955056"/>
      <w:bookmarkEnd w:id="170"/>
      <w:bookmarkStart w:id="171" w:name="_Hlt26782999"/>
      <w:bookmarkEnd w:id="171"/>
      <w:bookmarkStart w:id="172" w:name="_Hlt26955064"/>
      <w:bookmarkEnd w:id="172"/>
      <w:bookmarkStart w:id="173" w:name="_Hlt26671343"/>
      <w:bookmarkEnd w:id="173"/>
      <w:bookmarkStart w:id="174" w:name="_Hlt26609391"/>
      <w:bookmarkEnd w:id="174"/>
      <w:bookmarkStart w:id="175" w:name="_Hlt26580838"/>
      <w:bookmarkEnd w:id="175"/>
      <w:bookmarkStart w:id="176" w:name="_Hlt24879081"/>
      <w:bookmarkEnd w:id="176"/>
    </w:p>
    <w:p w14:paraId="4D8BB1CF">
      <w:pPr>
        <w:pStyle w:val="18"/>
        <w:pageBreakBefore w:val="0"/>
        <w:overflowPunct/>
        <w:topLinePunct w:val="0"/>
        <w:bidi w:val="0"/>
        <w:spacing w:line="360" w:lineRule="auto"/>
        <w:ind w:firstLine="42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br w:type="page"/>
      </w:r>
      <w:r>
        <w:rPr>
          <w:rFonts w:hint="eastAsia" w:asciiTheme="majorEastAsia" w:hAnsiTheme="majorEastAsia" w:eastAsiaTheme="majorEastAsia" w:cstheme="majorEastAsia"/>
          <w:b/>
          <w:bCs/>
          <w:sz w:val="24"/>
          <w:szCs w:val="24"/>
        </w:rPr>
        <w:t>七、服务方案</w:t>
      </w:r>
    </w:p>
    <w:p w14:paraId="2EBECB63">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4473B3E7">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0D7A1AB9">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5CBB10AB">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7766325E">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60223DD">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4D50B46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32BA1CE">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223633B6">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38200B6">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6BDCBC8F">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CD7F608">
      <w:pPr>
        <w:pStyle w:val="18"/>
        <w:pageBreakBefore w:val="0"/>
        <w:overflowPunct/>
        <w:topLinePunct w:val="0"/>
        <w:bidi w:val="0"/>
        <w:spacing w:line="360" w:lineRule="auto"/>
        <w:ind w:firstLine="420"/>
        <w:rPr>
          <w:rFonts w:hint="eastAsia" w:asciiTheme="majorEastAsia" w:hAnsiTheme="majorEastAsia" w:eastAsiaTheme="majorEastAsia" w:cstheme="majorEastAsia"/>
          <w:sz w:val="24"/>
          <w:szCs w:val="24"/>
        </w:rPr>
      </w:pPr>
    </w:p>
    <w:p w14:paraId="73475391">
      <w:pPr>
        <w:pStyle w:val="18"/>
        <w:pageBreakBefore w:val="0"/>
        <w:overflowPunct/>
        <w:topLinePunct w:val="0"/>
        <w:bidi w:val="0"/>
        <w:spacing w:line="360" w:lineRule="auto"/>
        <w:ind w:firstLine="422"/>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八、其他</w:t>
      </w:r>
    </w:p>
    <w:p w14:paraId="619150BE">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5371683B">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15A35CE8">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0E8B9D45">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5615BCC9">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7D22735E">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F35ACFB">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2C0FE4B">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1BEECC0A">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2DFB8FF2">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75B53B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A153EB9">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3D65E067">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E6C47F1">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09E3A8C0">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641E5293">
      <w:pPr>
        <w:pageBreakBefore w:val="0"/>
        <w:overflowPunct/>
        <w:topLinePunct w:val="0"/>
        <w:bidi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供应商参加投标确认函</w:t>
      </w:r>
    </w:p>
    <w:p w14:paraId="609C2BF3">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仪征传承招投标代理有限公司：</w:t>
      </w:r>
    </w:p>
    <w:p w14:paraId="3110C54B">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本单位将参加贵公司于  年   月     日开标的</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项目（编号：）的投标，特发函确认。</w:t>
      </w:r>
    </w:p>
    <w:p w14:paraId="247FA8A0">
      <w:pPr>
        <w:pageBreakBefore w:val="0"/>
        <w:overflowPunct/>
        <w:topLinePunct w:val="0"/>
        <w:bidi w:val="0"/>
        <w:spacing w:line="360" w:lineRule="auto"/>
        <w:ind w:left="3120" w:hanging="3120" w:hangingChars="1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（单位公章）</w:t>
      </w:r>
    </w:p>
    <w:p w14:paraId="391A8DF7">
      <w:pPr>
        <w:pageBreakBefore w:val="0"/>
        <w:pBdr>
          <w:bottom w:val="single" w:color="auto" w:sz="6" w:space="1"/>
        </w:pBdr>
        <w:overflowPunct/>
        <w:topLinePunct w:val="0"/>
        <w:bidi w:val="0"/>
        <w:spacing w:line="360" w:lineRule="auto"/>
        <w:ind w:left="3960" w:hanging="3960" w:hangingChars="16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年　　　月　　　日</w:t>
      </w:r>
    </w:p>
    <w:p w14:paraId="7F667C07">
      <w:pPr>
        <w:pageBreakBefore w:val="0"/>
        <w:overflowPunct/>
        <w:topLinePunct w:val="0"/>
        <w:bidi w:val="0"/>
        <w:spacing w:line="360" w:lineRule="auto"/>
        <w:ind w:left="3960" w:hanging="3960" w:hangingChars="16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w:t>
      </w:r>
    </w:p>
    <w:p w14:paraId="39B00EDD">
      <w:pPr>
        <w:pageBreakBefore w:val="0"/>
        <w:overflowPunct/>
        <w:topLinePunct w:val="0"/>
        <w:bidi w:val="0"/>
        <w:spacing w:line="360" w:lineRule="auto"/>
        <w:ind w:left="3975" w:hanging="3975" w:hangingChars="1650"/>
        <w:jc w:val="center"/>
        <w:rPr>
          <w:rFonts w:hint="eastAsia" w:asciiTheme="majorEastAsia" w:hAnsiTheme="majorEastAsia" w:eastAsiaTheme="majorEastAsia" w:cstheme="majorEastAsia"/>
          <w:b/>
          <w:sz w:val="24"/>
          <w:szCs w:val="24"/>
        </w:rPr>
      </w:pPr>
    </w:p>
    <w:p w14:paraId="4082FEB4">
      <w:pPr>
        <w:pageBreakBefore w:val="0"/>
        <w:overflowPunct/>
        <w:topLinePunct w:val="0"/>
        <w:bidi w:val="0"/>
        <w:spacing w:line="360" w:lineRule="auto"/>
        <w:ind w:left="3975" w:hanging="3975" w:hangingChars="165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供应商联系表</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551"/>
        <w:gridCol w:w="1701"/>
        <w:gridCol w:w="2410"/>
      </w:tblGrid>
      <w:tr w14:paraId="69F4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noWrap w:val="0"/>
            <w:vAlign w:val="top"/>
          </w:tcPr>
          <w:p w14:paraId="131048C5">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单位名称</w:t>
            </w:r>
          </w:p>
        </w:tc>
        <w:tc>
          <w:tcPr>
            <w:tcW w:w="6662" w:type="dxa"/>
            <w:gridSpan w:val="3"/>
            <w:noWrap w:val="0"/>
            <w:vAlign w:val="top"/>
          </w:tcPr>
          <w:p w14:paraId="6DFEA87C">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131A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noWrap w:val="0"/>
            <w:vAlign w:val="top"/>
          </w:tcPr>
          <w:p w14:paraId="761F8861">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单位地址</w:t>
            </w:r>
          </w:p>
        </w:tc>
        <w:tc>
          <w:tcPr>
            <w:tcW w:w="6662" w:type="dxa"/>
            <w:gridSpan w:val="3"/>
            <w:noWrap w:val="0"/>
            <w:vAlign w:val="top"/>
          </w:tcPr>
          <w:p w14:paraId="0D259D50">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356C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noWrap w:val="0"/>
            <w:vAlign w:val="top"/>
          </w:tcPr>
          <w:p w14:paraId="4236D219">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tc>
        <w:tc>
          <w:tcPr>
            <w:tcW w:w="2551" w:type="dxa"/>
            <w:noWrap w:val="0"/>
            <w:vAlign w:val="top"/>
          </w:tcPr>
          <w:p w14:paraId="3F3E1790">
            <w:pPr>
              <w:pageBreakBefore w:val="0"/>
              <w:overflowPunct/>
              <w:topLinePunct w:val="0"/>
              <w:bidi w:val="0"/>
              <w:spacing w:line="360" w:lineRule="auto"/>
              <w:rPr>
                <w:rFonts w:hint="eastAsia" w:asciiTheme="majorEastAsia" w:hAnsiTheme="majorEastAsia" w:eastAsiaTheme="majorEastAsia" w:cstheme="majorEastAsia"/>
                <w:sz w:val="24"/>
                <w:szCs w:val="24"/>
              </w:rPr>
            </w:pPr>
          </w:p>
        </w:tc>
        <w:tc>
          <w:tcPr>
            <w:tcW w:w="1701" w:type="dxa"/>
            <w:noWrap w:val="0"/>
            <w:vAlign w:val="top"/>
          </w:tcPr>
          <w:p w14:paraId="19ED96B8">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    编</w:t>
            </w:r>
          </w:p>
        </w:tc>
        <w:tc>
          <w:tcPr>
            <w:tcW w:w="2410" w:type="dxa"/>
            <w:noWrap w:val="0"/>
            <w:vAlign w:val="top"/>
          </w:tcPr>
          <w:p w14:paraId="54E9858D">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1BDB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4335A16B">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单位电话</w:t>
            </w:r>
          </w:p>
        </w:tc>
        <w:tc>
          <w:tcPr>
            <w:tcW w:w="2551" w:type="dxa"/>
            <w:noWrap w:val="0"/>
            <w:vAlign w:val="top"/>
          </w:tcPr>
          <w:p w14:paraId="6C4F977C">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1701" w:type="dxa"/>
            <w:noWrap w:val="0"/>
            <w:vAlign w:val="top"/>
          </w:tcPr>
          <w:p w14:paraId="527DD3E0">
            <w:pPr>
              <w:pageBreakBefore w:val="0"/>
              <w:overflowPunct/>
              <w:topLinePunct w:val="0"/>
              <w:bidi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传真号码</w:t>
            </w:r>
          </w:p>
        </w:tc>
        <w:tc>
          <w:tcPr>
            <w:tcW w:w="2410" w:type="dxa"/>
            <w:noWrap w:val="0"/>
            <w:vAlign w:val="top"/>
          </w:tcPr>
          <w:p w14:paraId="2A91CD0C">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1272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noWrap w:val="0"/>
            <w:vAlign w:val="top"/>
          </w:tcPr>
          <w:p w14:paraId="3AFAFCFC">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项目联系人</w:t>
            </w:r>
          </w:p>
        </w:tc>
        <w:tc>
          <w:tcPr>
            <w:tcW w:w="6662" w:type="dxa"/>
            <w:gridSpan w:val="3"/>
            <w:noWrap w:val="0"/>
            <w:vAlign w:val="top"/>
          </w:tcPr>
          <w:p w14:paraId="43D8771E">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283F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1A7643D0">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联系人电话</w:t>
            </w:r>
          </w:p>
        </w:tc>
        <w:tc>
          <w:tcPr>
            <w:tcW w:w="2551" w:type="dxa"/>
            <w:noWrap w:val="0"/>
            <w:vAlign w:val="top"/>
          </w:tcPr>
          <w:p w14:paraId="2DB48707">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c>
          <w:tcPr>
            <w:tcW w:w="1701" w:type="dxa"/>
            <w:noWrap w:val="0"/>
            <w:vAlign w:val="top"/>
          </w:tcPr>
          <w:p w14:paraId="255F266A">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联系人手机</w:t>
            </w:r>
          </w:p>
        </w:tc>
        <w:tc>
          <w:tcPr>
            <w:tcW w:w="2410" w:type="dxa"/>
            <w:noWrap w:val="0"/>
            <w:vAlign w:val="top"/>
          </w:tcPr>
          <w:p w14:paraId="40C4DA08">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r w14:paraId="099C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noWrap w:val="0"/>
            <w:vAlign w:val="top"/>
          </w:tcPr>
          <w:p w14:paraId="7BD7EBE9">
            <w:pPr>
              <w:pageBreakBefore w:val="0"/>
              <w:overflowPunct/>
              <w:topLinePunct w:val="0"/>
              <w:bidi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所投分包</w:t>
            </w:r>
          </w:p>
        </w:tc>
        <w:tc>
          <w:tcPr>
            <w:tcW w:w="6662" w:type="dxa"/>
            <w:gridSpan w:val="3"/>
            <w:noWrap w:val="0"/>
            <w:vAlign w:val="top"/>
          </w:tcPr>
          <w:p w14:paraId="7B733D78">
            <w:pPr>
              <w:pageBreakBefore w:val="0"/>
              <w:overflowPunct/>
              <w:topLinePunct w:val="0"/>
              <w:bidi w:val="0"/>
              <w:spacing w:line="360" w:lineRule="auto"/>
              <w:jc w:val="center"/>
              <w:rPr>
                <w:rFonts w:hint="eastAsia" w:asciiTheme="majorEastAsia" w:hAnsiTheme="majorEastAsia" w:eastAsiaTheme="majorEastAsia" w:cstheme="majorEastAsia"/>
                <w:sz w:val="24"/>
                <w:szCs w:val="24"/>
              </w:rPr>
            </w:pPr>
          </w:p>
        </w:tc>
      </w:tr>
    </w:tbl>
    <w:p w14:paraId="6DEC67E5">
      <w:pPr>
        <w:pageBreakBefore w:val="0"/>
        <w:overflowPunct/>
        <w:topLinePunct w:val="0"/>
        <w:bidi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备注：</w:t>
      </w:r>
    </w:p>
    <w:p w14:paraId="3BE86557">
      <w:pPr>
        <w:pageBreakBefore w:val="0"/>
        <w:overflowPunct/>
        <w:topLinePunct w:val="0"/>
        <w:bidi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1、请准备参与本项目投标的供应商如实填写（以上信息均为必填内容）《供应商参加投标确认函》，扫描件发送至代理机构人员邮箱（</w:t>
      </w:r>
      <w:r>
        <w:rPr>
          <w:rFonts w:hint="eastAsia" w:asciiTheme="majorEastAsia" w:hAnsiTheme="majorEastAsia" w:eastAsiaTheme="majorEastAsia" w:cstheme="majorEastAsia"/>
          <w:b/>
          <w:sz w:val="24"/>
          <w:szCs w:val="24"/>
          <w:lang w:val="en-US" w:eastAsia="zh-CN"/>
        </w:rPr>
        <w:t>179155624</w:t>
      </w:r>
      <w:r>
        <w:rPr>
          <w:rFonts w:hint="eastAsia" w:asciiTheme="majorEastAsia" w:hAnsiTheme="majorEastAsia" w:eastAsiaTheme="majorEastAsia" w:cstheme="majorEastAsia"/>
          <w:b/>
          <w:sz w:val="24"/>
          <w:szCs w:val="24"/>
        </w:rPr>
        <w:t>@qq.com，联系人：</w:t>
      </w:r>
      <w:r>
        <w:rPr>
          <w:rFonts w:hint="eastAsia" w:asciiTheme="majorEastAsia" w:hAnsiTheme="majorEastAsia" w:eastAsiaTheme="majorEastAsia" w:cstheme="majorEastAsia"/>
          <w:b/>
          <w:sz w:val="24"/>
          <w:szCs w:val="24"/>
          <w:lang w:val="en-US" w:eastAsia="zh-CN"/>
        </w:rPr>
        <w:t>陶青</w:t>
      </w:r>
      <w:r>
        <w:rPr>
          <w:rFonts w:hint="eastAsia" w:asciiTheme="majorEastAsia" w:hAnsiTheme="majorEastAsia" w:eastAsiaTheme="majorEastAsia" w:cstheme="majorEastAsia"/>
          <w:b/>
          <w:sz w:val="24"/>
          <w:szCs w:val="24"/>
        </w:rPr>
        <w:t>，电话：</w:t>
      </w:r>
      <w:r>
        <w:rPr>
          <w:rFonts w:hint="eastAsia" w:asciiTheme="majorEastAsia" w:hAnsiTheme="majorEastAsia" w:eastAsiaTheme="majorEastAsia" w:cstheme="majorEastAsia"/>
          <w:b/>
          <w:sz w:val="24"/>
          <w:szCs w:val="24"/>
          <w:lang w:val="en-US" w:eastAsia="zh-CN"/>
        </w:rPr>
        <w:t>15949093581</w:t>
      </w:r>
      <w:r>
        <w:rPr>
          <w:rFonts w:hint="eastAsia" w:asciiTheme="majorEastAsia" w:hAnsiTheme="majorEastAsia" w:eastAsiaTheme="majorEastAsia" w:cstheme="majorEastAsia"/>
          <w:b/>
          <w:sz w:val="24"/>
          <w:szCs w:val="24"/>
        </w:rPr>
        <w:t>）同时需与采购代理机构经办人确认是否收到《供应商参加投标确认函》，或将原件送至：仪征传承招投标代理有限公司。</w:t>
      </w:r>
    </w:p>
    <w:p w14:paraId="75C3A291">
      <w:pPr>
        <w:pageBreakBefore w:val="0"/>
        <w:overflowPunct/>
        <w:topLinePunct w:val="0"/>
        <w:bidi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2、因供应商填写有误，造成以上信息资料的不实将由供应商承担责任。</w:t>
      </w:r>
    </w:p>
    <w:p w14:paraId="3B0611B9">
      <w:pPr>
        <w:pageBreakBefore w:val="0"/>
        <w:overflowPunct/>
        <w:topLinePunct w:val="0"/>
        <w:bidi w:val="0"/>
        <w:spacing w:line="360" w:lineRule="auto"/>
        <w:rPr>
          <w:rFonts w:hint="eastAsia" w:asciiTheme="majorEastAsia" w:hAnsiTheme="majorEastAsia" w:eastAsiaTheme="majorEastAsia" w:cstheme="majorEastAsia"/>
          <w:kern w:val="0"/>
          <w:sz w:val="24"/>
          <w:szCs w:val="24"/>
        </w:rPr>
      </w:pPr>
    </w:p>
    <w:p w14:paraId="5E60887F">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37168956">
      <w:pPr>
        <w:pageBreakBefore w:val="0"/>
        <w:overflowPunct/>
        <w:topLinePunct w:val="0"/>
        <w:bidi w:val="0"/>
        <w:spacing w:line="360" w:lineRule="auto"/>
        <w:rPr>
          <w:rFonts w:hint="eastAsia" w:asciiTheme="majorEastAsia" w:hAnsiTheme="majorEastAsia" w:eastAsiaTheme="majorEastAsia" w:cstheme="majorEastAsia"/>
          <w:sz w:val="24"/>
          <w:szCs w:val="24"/>
        </w:rPr>
      </w:pPr>
    </w:p>
    <w:p w14:paraId="76EBB822">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37BD1DBC">
      <w:pPr>
        <w:pageBreakBefore w:val="0"/>
        <w:overflowPunct/>
        <w:topLinePunct w:val="0"/>
        <w:bidi w:val="0"/>
        <w:spacing w:line="360" w:lineRule="auto"/>
        <w:rPr>
          <w:rFonts w:hint="eastAsia" w:asciiTheme="majorEastAsia" w:hAnsiTheme="majorEastAsia" w:eastAsiaTheme="majorEastAsia" w:cstheme="majorEastAsia"/>
          <w:bCs/>
          <w:sz w:val="24"/>
          <w:szCs w:val="24"/>
        </w:rPr>
      </w:pPr>
    </w:p>
    <w:p w14:paraId="6EF2820B">
      <w:pPr>
        <w:pStyle w:val="18"/>
        <w:pageBreakBefore w:val="0"/>
        <w:overflowPunct/>
        <w:topLinePunct w:val="0"/>
        <w:bidi w:val="0"/>
        <w:spacing w:line="360" w:lineRule="auto"/>
        <w:ind w:firstLine="480"/>
        <w:rPr>
          <w:rFonts w:hint="eastAsia" w:asciiTheme="majorEastAsia" w:hAnsiTheme="majorEastAsia" w:eastAsiaTheme="majorEastAsia" w:cstheme="majorEastAsia"/>
          <w:bCs/>
          <w:sz w:val="24"/>
          <w:szCs w:val="24"/>
        </w:rPr>
      </w:pPr>
    </w:p>
    <w:p w14:paraId="43241B44">
      <w:pPr>
        <w:pageBreakBefore w:val="0"/>
        <w:overflowPunct/>
        <w:topLinePunct w:val="0"/>
        <w:bidi w:val="0"/>
        <w:spacing w:line="360" w:lineRule="auto"/>
        <w:rPr>
          <w:rFonts w:hint="eastAsia" w:asciiTheme="majorEastAsia" w:hAnsiTheme="majorEastAsia" w:eastAsiaTheme="majorEastAsia" w:cstheme="majorEastAsia"/>
          <w:bCs/>
          <w:sz w:val="24"/>
          <w:szCs w:val="24"/>
        </w:rPr>
      </w:pPr>
    </w:p>
    <w:sectPr>
      <w:pgSz w:w="11906" w:h="16838"/>
      <w:pgMar w:top="1134" w:right="1701" w:bottom="113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_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DBFC">
    <w:pPr>
      <w:pStyle w:val="9"/>
      <w:rPr>
        <w:rFonts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4D6D">
    <w:pPr>
      <w:pStyle w:val="9"/>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9A58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A9A58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CF7D">
    <w:pPr>
      <w:pStyle w:val="10"/>
      <w:pBdr>
        <w:bottom w:val="none" w:color="auto" w:sz="0" w:space="0"/>
      </w:pBdr>
      <w:ind w:firstLine="360" w:firstLineChars="200"/>
      <w:jc w:val="both"/>
    </w:pPr>
  </w:p>
  <w:p w14:paraId="5F0E2DC5">
    <w:pPr>
      <w:pStyle w:val="10"/>
      <w:jc w:val="right"/>
    </w:pPr>
    <w:r>
      <w:rPr>
        <w:rFonts w:hint="eastAsia"/>
      </w:rPr>
      <w:t xml:space="preserve">  </w:t>
    </w:r>
    <w:r>
      <w:rPr>
        <w:rFonts w:hint="eastAsia"/>
      </w:rPr>
      <w:drawing>
        <wp:inline distT="0" distB="0" distL="114300" distR="114300">
          <wp:extent cx="191770" cy="184785"/>
          <wp:effectExtent l="0" t="0" r="17780" b="5715"/>
          <wp:docPr id="2" name="图片 1" descr="71fca07e22163239f7a1a0bfbe7f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1fca07e22163239f7a1a0bfbe7f08f"/>
                  <pic:cNvPicPr>
                    <a:picLocks noChangeAspect="1"/>
                  </pic:cNvPicPr>
                </pic:nvPicPr>
                <pic:blipFill>
                  <a:blip r:embed="rId1"/>
                  <a:stretch>
                    <a:fillRect/>
                  </a:stretch>
                </pic:blipFill>
                <pic:spPr>
                  <a:xfrm>
                    <a:off x="0" y="0"/>
                    <a:ext cx="191770" cy="184785"/>
                  </a:xfrm>
                  <a:prstGeom prst="rect">
                    <a:avLst/>
                  </a:prstGeom>
                  <a:noFill/>
                  <a:ln>
                    <a:noFill/>
                  </a:ln>
                </pic:spPr>
              </pic:pic>
            </a:graphicData>
          </a:graphic>
        </wp:inline>
      </w:drawing>
    </w:r>
    <w:r>
      <w:rPr>
        <w:rFonts w:hint="eastAsia"/>
      </w:rPr>
      <w:t>仪征传承招投标代理有限公司</w:t>
    </w:r>
  </w:p>
  <w:p w14:paraId="0BCDC3B3">
    <w:pPr>
      <w:pStyle w:val="10"/>
      <w:pBdr>
        <w:bottom w:val="none" w:color="auto" w:sz="0" w:space="0"/>
      </w:pBdr>
      <w:ind w:firstLine="360" w:firstLineChars="20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NTNkYjJkMTEyYjk2OTNlNmJjYjc3MzJkZDI0YTMifQ=="/>
  </w:docVars>
  <w:rsids>
    <w:rsidRoot w:val="00000000"/>
    <w:rsid w:val="0060734C"/>
    <w:rsid w:val="021D229B"/>
    <w:rsid w:val="023262C3"/>
    <w:rsid w:val="07866B35"/>
    <w:rsid w:val="13EA2A14"/>
    <w:rsid w:val="20D830D1"/>
    <w:rsid w:val="22862D46"/>
    <w:rsid w:val="29114058"/>
    <w:rsid w:val="2A95774B"/>
    <w:rsid w:val="2F7C41F6"/>
    <w:rsid w:val="43196FE9"/>
    <w:rsid w:val="4D6A0BD7"/>
    <w:rsid w:val="59207FB4"/>
    <w:rsid w:val="5BF03AA1"/>
    <w:rsid w:val="5E48511F"/>
    <w:rsid w:val="65164566"/>
    <w:rsid w:val="664A0D99"/>
    <w:rsid w:val="6825276B"/>
    <w:rsid w:val="6B3D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9"/>
    <w:pPr>
      <w:keepNext/>
      <w:keepLines/>
      <w:spacing w:line="360" w:lineRule="auto"/>
      <w:jc w:val="center"/>
      <w:outlineLvl w:val="0"/>
    </w:pPr>
    <w:rPr>
      <w:b/>
      <w:bCs/>
      <w:kern w:val="44"/>
      <w:sz w:val="32"/>
      <w:szCs w:val="44"/>
    </w:rPr>
  </w:style>
  <w:style w:type="paragraph" w:styleId="3">
    <w:name w:val="heading 2"/>
    <w:basedOn w:val="1"/>
    <w:next w:val="4"/>
    <w:qFormat/>
    <w:uiPriority w:val="0"/>
    <w:pPr>
      <w:keepNext/>
      <w:keepLines/>
      <w:spacing w:line="360" w:lineRule="auto"/>
      <w:jc w:val="left"/>
      <w:outlineLvl w:val="1"/>
    </w:pPr>
    <w:rPr>
      <w:rFonts w:ascii="Arial" w:hAnsi="Arial"/>
      <w:b/>
      <w:bCs/>
      <w:kern w:val="0"/>
      <w:sz w:val="24"/>
      <w:szCs w:val="44"/>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ind w:firstLine="420" w:firstLineChars="200"/>
    </w:pPr>
  </w:style>
  <w:style w:type="paragraph" w:styleId="6">
    <w:name w:val="Body Text"/>
    <w:basedOn w:val="1"/>
    <w:next w:val="4"/>
    <w:qFormat/>
    <w:uiPriority w:val="0"/>
    <w:rPr>
      <w:rFonts w:ascii="楷体_GB2312" w:hAnsi="Arial" w:eastAsia="楷体_GB2312"/>
      <w:kern w:val="0"/>
      <w:sz w:val="28"/>
      <w:szCs w:val="20"/>
    </w:rPr>
  </w:style>
  <w:style w:type="paragraph" w:styleId="7">
    <w:name w:val="index 4"/>
    <w:basedOn w:val="1"/>
    <w:next w:val="1"/>
    <w:semiHidden/>
    <w:qFormat/>
    <w:uiPriority w:val="0"/>
    <w:pPr>
      <w:autoSpaceDE w:val="0"/>
      <w:autoSpaceDN w:val="0"/>
      <w:ind w:left="1260"/>
      <w:jc w:val="left"/>
    </w:pPr>
    <w:rPr>
      <w:rFonts w:ascii="宋体" w:hAnsi="宋体" w:cs="宋体"/>
      <w:kern w:val="0"/>
      <w:sz w:val="22"/>
      <w:lang w:val="zh-CN" w:bidi="zh-CN"/>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正文1"/>
    <w:qFormat/>
    <w:uiPriority w:val="99"/>
    <w:pPr>
      <w:widowControl w:val="0"/>
      <w:adjustRightInd w:val="0"/>
      <w:spacing w:line="312" w:lineRule="atLeast"/>
      <w:jc w:val="both"/>
    </w:pPr>
    <w:rPr>
      <w:rFonts w:ascii="宋体" w:hAnsi="Times New Roman" w:eastAsia="宋体" w:cs="宋体"/>
      <w:sz w:val="34"/>
      <w:szCs w:val="34"/>
      <w:lang w:val="en-US" w:eastAsia="zh-CN" w:bidi="ar-SA"/>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18"/>
      <w:szCs w:val="18"/>
      <w:lang w:val="en-US" w:eastAsia="en-US" w:bidi="ar-SA"/>
    </w:rPr>
  </w:style>
  <w:style w:type="paragraph" w:customStyle="1" w:styleId="22">
    <w:name w:val="列出段落1"/>
    <w:basedOn w:val="1"/>
    <w:qFormat/>
    <w:uiPriority w:val="0"/>
    <w:pPr>
      <w:ind w:firstLine="420" w:firstLineChars="200"/>
    </w:pPr>
    <w:rPr>
      <w:kern w:val="0"/>
      <w:sz w:val="20"/>
      <w:szCs w:val="24"/>
    </w:rPr>
  </w:style>
  <w:style w:type="paragraph" w:customStyle="1" w:styleId="23">
    <w:name w:val="Char"/>
    <w:basedOn w:val="1"/>
    <w:qFormat/>
    <w:uiPriority w:val="0"/>
    <w:pPr>
      <w:tabs>
        <w:tab w:val="left" w:pos="360"/>
      </w:tabs>
      <w:ind w:firstLine="200" w:firstLineChars="200"/>
    </w:pPr>
    <w:rPr>
      <w:sz w:val="28"/>
      <w:szCs w:val="30"/>
    </w:rPr>
  </w:style>
  <w:style w:type="character" w:customStyle="1" w:styleId="24">
    <w:name w:val="标题 1 Char"/>
    <w:link w:val="2"/>
    <w:qFormat/>
    <w:uiPriority w:val="0"/>
    <w:rPr>
      <w:rFonts w:eastAsia="宋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12653</Words>
  <Characters>13328</Characters>
  <Lines>0</Lines>
  <Paragraphs>0</Paragraphs>
  <TotalTime>1</TotalTime>
  <ScaleCrop>false</ScaleCrop>
  <LinksUpToDate>false</LinksUpToDate>
  <CharactersWithSpaces>13796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2024-11-20T07:34:00Z</dcterms:created>
  <dc:creator>Administrator</dc:creator>
  <cp:lastModifiedBy>心润</cp:lastModifiedBy>
  <cp:lastPrinted>2024-11-21T09:09:00Z</cp:lastPrinted>
  <dcterms:modified xsi:type="dcterms:W3CDTF">2024-11-26T10:01:45Z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85B179A2E6924F94A3F9F565B71AB2E5_13</vt:lpwstr>
  </property>
</Properties>
</file>