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97D9">
      <w:pPr>
        <w:spacing w:line="360" w:lineRule="auto"/>
        <w:rPr>
          <w:rFonts w:hint="eastAsia" w:ascii="宋体" w:hAnsi="宋体"/>
          <w:color w:val="auto"/>
          <w:sz w:val="28"/>
          <w:highlight w:val="none"/>
        </w:rPr>
      </w:pPr>
      <w:bookmarkStart w:id="0" w:name="_Hlk69393945"/>
      <w:bookmarkStart w:id="1" w:name="_Toc528771312"/>
      <w:bookmarkStart w:id="2" w:name="_Toc27744861"/>
    </w:p>
    <w:p w14:paraId="69BD5E08">
      <w:pPr>
        <w:spacing w:line="360" w:lineRule="auto"/>
        <w:jc w:val="center"/>
        <w:rPr>
          <w:rFonts w:hint="eastAsia" w:ascii="宋体" w:hAnsi="宋体" w:eastAsia="宋体" w:cs="Times New Roman"/>
          <w:b/>
          <w:bCs/>
          <w:color w:val="auto"/>
          <w:sz w:val="36"/>
          <w:highlight w:val="none"/>
        </w:rPr>
      </w:pPr>
    </w:p>
    <w:p w14:paraId="7657E33F">
      <w:pPr>
        <w:spacing w:line="360" w:lineRule="auto"/>
        <w:jc w:val="center"/>
        <w:rPr>
          <w:rFonts w:hint="default" w:ascii="宋体" w:hAnsi="宋体" w:eastAsia="宋体" w:cs="Times New Roman"/>
          <w:b/>
          <w:bCs/>
          <w:color w:val="auto"/>
          <w:sz w:val="36"/>
          <w:highlight w:val="none"/>
          <w:lang w:val="en-US"/>
        </w:rPr>
      </w:pPr>
      <w:r>
        <w:rPr>
          <w:rFonts w:hint="eastAsia" w:ascii="宋体" w:hAnsi="宋体" w:cs="Times New Roman"/>
          <w:b/>
          <w:bCs/>
          <w:color w:val="auto"/>
          <w:sz w:val="36"/>
          <w:highlight w:val="none"/>
          <w:lang w:val="en-US" w:eastAsia="zh-CN"/>
        </w:rPr>
        <w:t>仪征市中医院DIP管理系统采购项目</w:t>
      </w:r>
    </w:p>
    <w:p w14:paraId="5306B661">
      <w:pPr>
        <w:spacing w:line="360" w:lineRule="auto"/>
        <w:jc w:val="center"/>
        <w:rPr>
          <w:rFonts w:hint="eastAsia" w:ascii="宋体" w:hAnsi="宋体" w:eastAsia="宋体" w:cs="Times New Roman"/>
          <w:b/>
          <w:bCs/>
          <w:color w:val="auto"/>
          <w:sz w:val="36"/>
          <w:highlight w:val="none"/>
        </w:rPr>
      </w:pPr>
    </w:p>
    <w:p w14:paraId="7AA47573">
      <w:pPr>
        <w:spacing w:line="360" w:lineRule="auto"/>
        <w:jc w:val="center"/>
        <w:rPr>
          <w:rFonts w:hint="eastAsia" w:ascii="宋体" w:hAnsi="宋体" w:eastAsia="宋体" w:cs="Times New Roman"/>
          <w:b/>
          <w:bCs/>
          <w:color w:val="auto"/>
          <w:sz w:val="36"/>
          <w:highlight w:val="none"/>
        </w:rPr>
      </w:pPr>
    </w:p>
    <w:p w14:paraId="1F0BA409">
      <w:pPr>
        <w:spacing w:line="360" w:lineRule="auto"/>
        <w:jc w:val="center"/>
        <w:rPr>
          <w:rFonts w:hint="eastAsia" w:ascii="宋体" w:hAnsi="宋体" w:eastAsia="宋体" w:cs="Times New Roman"/>
          <w:b/>
          <w:bCs/>
          <w:color w:val="auto"/>
          <w:sz w:val="36"/>
          <w:highlight w:val="none"/>
        </w:rPr>
      </w:pPr>
    </w:p>
    <w:p w14:paraId="5114489E">
      <w:pPr>
        <w:spacing w:line="360" w:lineRule="auto"/>
        <w:jc w:val="center"/>
        <w:rPr>
          <w:rFonts w:hint="eastAsia" w:ascii="宋体" w:hAnsi="宋体" w:eastAsia="宋体" w:cs="Times New Roman"/>
          <w:b/>
          <w:bCs/>
          <w:color w:val="auto"/>
          <w:sz w:val="36"/>
          <w:highlight w:val="none"/>
        </w:rPr>
      </w:pPr>
    </w:p>
    <w:p w14:paraId="2B6564CF">
      <w:pPr>
        <w:spacing w:line="360" w:lineRule="auto"/>
        <w:jc w:val="center"/>
        <w:rPr>
          <w:rFonts w:hint="eastAsia" w:ascii="宋体" w:hAnsi="宋体" w:eastAsia="宋体" w:cs="Times New Roman"/>
          <w:b/>
          <w:bCs/>
          <w:color w:val="auto"/>
          <w:sz w:val="56"/>
          <w:szCs w:val="40"/>
          <w:highlight w:val="none"/>
        </w:rPr>
      </w:pPr>
      <w:r>
        <w:rPr>
          <w:rFonts w:hint="eastAsia" w:ascii="宋体" w:hAnsi="宋体" w:eastAsia="宋体" w:cs="Times New Roman"/>
          <w:b/>
          <w:bCs/>
          <w:color w:val="auto"/>
          <w:sz w:val="56"/>
          <w:szCs w:val="40"/>
          <w:highlight w:val="none"/>
        </w:rPr>
        <w:t>竞争性磋商文件</w:t>
      </w:r>
    </w:p>
    <w:p w14:paraId="0AE6BDBD">
      <w:pPr>
        <w:spacing w:line="360" w:lineRule="auto"/>
        <w:jc w:val="both"/>
        <w:rPr>
          <w:rFonts w:hint="eastAsia" w:ascii="宋体" w:hAnsi="宋体" w:eastAsia="宋体" w:cs="Times New Roman"/>
          <w:b/>
          <w:bCs/>
          <w:color w:val="auto"/>
          <w:sz w:val="36"/>
          <w:highlight w:val="none"/>
        </w:rPr>
      </w:pPr>
    </w:p>
    <w:p w14:paraId="1DB6EBAC">
      <w:pPr>
        <w:spacing w:line="360" w:lineRule="auto"/>
        <w:jc w:val="center"/>
        <w:rPr>
          <w:rFonts w:hint="eastAsia" w:ascii="宋体" w:hAnsi="宋体" w:eastAsia="宋体" w:cs="Times New Roman"/>
          <w:b/>
          <w:bCs/>
          <w:color w:val="auto"/>
          <w:sz w:val="36"/>
          <w:highlight w:val="none"/>
        </w:rPr>
      </w:pPr>
    </w:p>
    <w:p w14:paraId="1F56DCB6">
      <w:pPr>
        <w:spacing w:line="360" w:lineRule="auto"/>
        <w:jc w:val="center"/>
        <w:rPr>
          <w:rFonts w:hint="eastAsia" w:ascii="宋体" w:hAnsi="宋体" w:eastAsia="宋体" w:cs="Times New Roman"/>
          <w:b/>
          <w:bCs/>
          <w:color w:val="auto"/>
          <w:sz w:val="36"/>
          <w:highlight w:val="none"/>
        </w:rPr>
      </w:pPr>
    </w:p>
    <w:p w14:paraId="29D3E4D5">
      <w:pPr>
        <w:spacing w:line="360" w:lineRule="auto"/>
        <w:jc w:val="center"/>
        <w:rPr>
          <w:rFonts w:hint="eastAsia" w:ascii="宋体" w:hAnsi="宋体" w:eastAsia="宋体" w:cs="Times New Roman"/>
          <w:b/>
          <w:bCs/>
          <w:color w:val="auto"/>
          <w:sz w:val="36"/>
          <w:highlight w:val="none"/>
          <w:shd w:val="clear" w:color="auto" w:fill="FFFF00"/>
        </w:rPr>
      </w:pPr>
      <w:r>
        <w:rPr>
          <w:rFonts w:hint="eastAsia" w:ascii="宋体" w:hAnsi="宋体" w:eastAsia="宋体" w:cs="Times New Roman"/>
          <w:b/>
          <w:bCs/>
          <w:color w:val="auto"/>
          <w:sz w:val="36"/>
          <w:highlight w:val="none"/>
          <w:lang w:val="en-US"/>
        </w:rPr>
        <w:t>项目编号：</w:t>
      </w:r>
      <w:r>
        <w:rPr>
          <w:rFonts w:hint="eastAsia" w:ascii="宋体" w:hAnsi="宋体" w:cs="Times New Roman"/>
          <w:b/>
          <w:bCs/>
          <w:color w:val="auto"/>
          <w:sz w:val="36"/>
          <w:highlight w:val="none"/>
          <w:shd w:val="clear" w:color="auto" w:fill="FFFF00"/>
          <w:lang w:val="en-US" w:eastAsia="zh-CN"/>
        </w:rPr>
        <w:t>JSZC-321000-JSHY-C2024-0452</w:t>
      </w:r>
    </w:p>
    <w:p w14:paraId="56BF2B7D">
      <w:pPr>
        <w:spacing w:line="360" w:lineRule="auto"/>
        <w:jc w:val="center"/>
        <w:rPr>
          <w:rFonts w:hint="default" w:ascii="宋体" w:hAnsi="宋体" w:eastAsia="宋体" w:cs="Times New Roman"/>
          <w:b/>
          <w:bCs/>
          <w:color w:val="auto"/>
          <w:sz w:val="36"/>
          <w:highlight w:val="none"/>
          <w:lang w:val="en-US"/>
        </w:rPr>
      </w:pPr>
      <w:r>
        <w:rPr>
          <w:rFonts w:hint="eastAsia" w:ascii="宋体" w:hAnsi="宋体" w:eastAsia="宋体" w:cs="Times New Roman"/>
          <w:b/>
          <w:bCs/>
          <w:color w:val="auto"/>
          <w:sz w:val="36"/>
          <w:highlight w:val="none"/>
          <w:lang w:val="en-US"/>
        </w:rPr>
        <w:t>代理机构编号：</w:t>
      </w:r>
      <w:r>
        <w:rPr>
          <w:rFonts w:hint="eastAsia" w:ascii="宋体" w:hAnsi="宋体" w:eastAsia="宋体" w:cs="Times New Roman"/>
          <w:b/>
          <w:bCs/>
          <w:color w:val="auto"/>
          <w:sz w:val="36"/>
          <w:highlight w:val="none"/>
          <w:lang w:val="en-US" w:eastAsia="zh-CN"/>
        </w:rPr>
        <w:t>1009-2</w:t>
      </w:r>
      <w:r>
        <w:rPr>
          <w:rFonts w:hint="eastAsia" w:ascii="宋体" w:hAnsi="宋体" w:cs="Times New Roman"/>
          <w:b/>
          <w:bCs/>
          <w:color w:val="auto"/>
          <w:sz w:val="36"/>
          <w:highlight w:val="none"/>
          <w:lang w:val="en-US" w:eastAsia="zh-CN"/>
        </w:rPr>
        <w:t>5</w:t>
      </w:r>
      <w:r>
        <w:rPr>
          <w:rFonts w:hint="eastAsia" w:ascii="宋体" w:hAnsi="宋体" w:eastAsia="宋体" w:cs="Times New Roman"/>
          <w:b/>
          <w:bCs/>
          <w:color w:val="auto"/>
          <w:sz w:val="36"/>
          <w:highlight w:val="none"/>
          <w:lang w:val="en-US" w:eastAsia="zh-CN"/>
        </w:rPr>
        <w:t>41HOLLY18</w:t>
      </w:r>
      <w:r>
        <w:rPr>
          <w:rFonts w:hint="eastAsia" w:ascii="宋体" w:hAnsi="宋体" w:cs="Times New Roman"/>
          <w:b/>
          <w:bCs/>
          <w:color w:val="auto"/>
          <w:sz w:val="36"/>
          <w:highlight w:val="none"/>
          <w:lang w:val="en-US" w:eastAsia="zh-CN"/>
        </w:rPr>
        <w:t>F</w:t>
      </w:r>
    </w:p>
    <w:p w14:paraId="210E5F3B">
      <w:pPr>
        <w:spacing w:line="360" w:lineRule="auto"/>
        <w:jc w:val="center"/>
        <w:rPr>
          <w:rFonts w:hint="eastAsia" w:ascii="宋体" w:hAnsi="宋体" w:eastAsia="宋体" w:cs="Times New Roman"/>
          <w:b/>
          <w:bCs/>
          <w:color w:val="auto"/>
          <w:sz w:val="36"/>
          <w:highlight w:val="none"/>
        </w:rPr>
      </w:pPr>
    </w:p>
    <w:p w14:paraId="37A9091C">
      <w:pPr>
        <w:spacing w:line="360" w:lineRule="auto"/>
        <w:jc w:val="both"/>
        <w:rPr>
          <w:rFonts w:hint="eastAsia" w:ascii="宋体" w:hAnsi="宋体" w:eastAsia="宋体" w:cs="Times New Roman"/>
          <w:b/>
          <w:bCs/>
          <w:color w:val="auto"/>
          <w:sz w:val="36"/>
          <w:highlight w:val="none"/>
        </w:rPr>
      </w:pPr>
    </w:p>
    <w:p w14:paraId="68CD791D">
      <w:pPr>
        <w:spacing w:line="360" w:lineRule="auto"/>
        <w:jc w:val="center"/>
        <w:rPr>
          <w:rFonts w:hint="eastAsia" w:ascii="宋体" w:hAnsi="宋体" w:eastAsia="宋体" w:cs="Times New Roman"/>
          <w:b/>
          <w:bCs/>
          <w:color w:val="auto"/>
          <w:sz w:val="36"/>
          <w:highlight w:val="none"/>
        </w:rPr>
      </w:pPr>
    </w:p>
    <w:p w14:paraId="3AE71113">
      <w:pPr>
        <w:spacing w:line="360" w:lineRule="auto"/>
        <w:jc w:val="center"/>
        <w:rPr>
          <w:rFonts w:hint="eastAsia" w:ascii="宋体" w:hAnsi="宋体" w:eastAsia="宋体" w:cs="Times New Roman"/>
          <w:b/>
          <w:bCs/>
          <w:color w:val="auto"/>
          <w:sz w:val="36"/>
          <w:highlight w:val="none"/>
        </w:rPr>
      </w:pPr>
      <w:r>
        <w:rPr>
          <w:rFonts w:hint="eastAsia" w:ascii="宋体" w:hAnsi="宋体" w:eastAsia="宋体" w:cs="Times New Roman"/>
          <w:b/>
          <w:bCs/>
          <w:color w:val="auto"/>
          <w:sz w:val="36"/>
          <w:highlight w:val="none"/>
          <w:lang w:val="en-US"/>
        </w:rPr>
        <w:t>采购人：</w:t>
      </w:r>
      <w:r>
        <w:rPr>
          <w:rFonts w:hint="eastAsia" w:ascii="宋体" w:hAnsi="宋体" w:cs="Times New Roman"/>
          <w:b/>
          <w:bCs/>
          <w:color w:val="auto"/>
          <w:sz w:val="36"/>
          <w:highlight w:val="none"/>
          <w:lang w:val="en-US" w:eastAsia="zh-CN"/>
        </w:rPr>
        <w:t>仪征市中医院</w:t>
      </w:r>
    </w:p>
    <w:p w14:paraId="039BD076">
      <w:pPr>
        <w:spacing w:line="360" w:lineRule="auto"/>
        <w:jc w:val="center"/>
        <w:rPr>
          <w:rFonts w:hint="eastAsia" w:ascii="宋体" w:hAnsi="宋体" w:eastAsia="宋体" w:cs="Times New Roman"/>
          <w:b/>
          <w:bCs/>
          <w:color w:val="auto"/>
          <w:sz w:val="36"/>
          <w:highlight w:val="none"/>
        </w:rPr>
      </w:pPr>
      <w:r>
        <w:rPr>
          <w:rFonts w:hint="eastAsia" w:ascii="宋体" w:hAnsi="宋体" w:eastAsia="宋体" w:cs="Times New Roman"/>
          <w:b/>
          <w:bCs/>
          <w:color w:val="auto"/>
          <w:sz w:val="36"/>
          <w:highlight w:val="none"/>
          <w:lang w:val="en-US"/>
        </w:rPr>
        <w:t>采购代理机构：江苏弘业国际技术工程有限公司</w:t>
      </w:r>
    </w:p>
    <w:p w14:paraId="1BE60D95">
      <w:pPr>
        <w:spacing w:line="360" w:lineRule="auto"/>
        <w:jc w:val="center"/>
        <w:rPr>
          <w:rFonts w:hint="eastAsia" w:ascii="宋体" w:hAnsi="宋体" w:cs="宋体"/>
          <w:color w:val="auto"/>
          <w:szCs w:val="21"/>
          <w:highlight w:val="none"/>
        </w:rPr>
        <w:sectPr>
          <w:headerReference r:id="rId5" w:type="default"/>
          <w:pgSz w:w="11906" w:h="16838"/>
          <w:pgMar w:top="1440" w:right="1800" w:bottom="1440" w:left="1800" w:header="851" w:footer="992" w:gutter="0"/>
          <w:cols w:space="1701" w:num="1"/>
          <w:docGrid w:linePitch="360" w:charSpace="0"/>
        </w:sectPr>
      </w:pPr>
      <w:r>
        <w:rPr>
          <w:rFonts w:hint="eastAsia" w:ascii="宋体" w:hAnsi="宋体" w:eastAsia="宋体" w:cs="Times New Roman"/>
          <w:b/>
          <w:bCs/>
          <w:color w:val="auto"/>
          <w:sz w:val="36"/>
          <w:highlight w:val="none"/>
          <w:lang w:val="en-US"/>
        </w:rPr>
        <w:t>日期：二〇二</w:t>
      </w:r>
      <w:r>
        <w:rPr>
          <w:rFonts w:hint="eastAsia" w:ascii="宋体" w:hAnsi="宋体" w:cs="Times New Roman"/>
          <w:b/>
          <w:bCs/>
          <w:color w:val="auto"/>
          <w:sz w:val="36"/>
          <w:highlight w:val="none"/>
          <w:lang w:val="en-US" w:eastAsia="zh-CN"/>
        </w:rPr>
        <w:t>五</w:t>
      </w:r>
      <w:r>
        <w:rPr>
          <w:rFonts w:hint="eastAsia" w:ascii="宋体" w:hAnsi="宋体" w:eastAsia="宋体" w:cs="Times New Roman"/>
          <w:b/>
          <w:bCs/>
          <w:color w:val="auto"/>
          <w:sz w:val="36"/>
          <w:highlight w:val="none"/>
          <w:lang w:val="en-US"/>
        </w:rPr>
        <w:t>年</w:t>
      </w:r>
      <w:r>
        <w:rPr>
          <w:rFonts w:hint="eastAsia" w:ascii="宋体" w:hAnsi="宋体" w:eastAsia="宋体" w:cs="Times New Roman"/>
          <w:b/>
          <w:bCs/>
          <w:color w:val="auto"/>
          <w:sz w:val="36"/>
          <w:highlight w:val="none"/>
          <w:lang w:val="en-US" w:eastAsia="zh-CN"/>
        </w:rPr>
        <w:t>二</w:t>
      </w:r>
      <w:r>
        <w:rPr>
          <w:rFonts w:hint="eastAsia" w:ascii="宋体" w:hAnsi="宋体" w:eastAsia="宋体" w:cs="Times New Roman"/>
          <w:b/>
          <w:bCs/>
          <w:color w:val="auto"/>
          <w:sz w:val="36"/>
          <w:highlight w:val="none"/>
          <w:lang w:val="en-US"/>
        </w:rPr>
        <w:t>月</w:t>
      </w:r>
    </w:p>
    <w:p w14:paraId="2706D55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目 录</w:t>
      </w:r>
    </w:p>
    <w:p w14:paraId="619AC6FC">
      <w:pPr>
        <w:pStyle w:val="261"/>
        <w:tabs>
          <w:tab w:val="right" w:leader="dot" w:pos="8296"/>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\f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第一章 竞争性磋商采购公告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_Toc109304962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p>
    <w:p w14:paraId="06294B2F">
      <w:pPr>
        <w:pStyle w:val="261"/>
        <w:tabs>
          <w:tab w:val="right" w:leader="dot" w:pos="8296"/>
        </w:tabs>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第二章 磋商须知</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6</w:t>
      </w:r>
    </w:p>
    <w:p w14:paraId="1ED33482">
      <w:pPr>
        <w:pStyle w:val="261"/>
        <w:tabs>
          <w:tab w:val="right" w:leader="dot" w:pos="8296"/>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第三章 合同条款及格式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_Toc109304973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p>
    <w:p w14:paraId="574DE540">
      <w:pPr>
        <w:pStyle w:val="261"/>
        <w:tabs>
          <w:tab w:val="right" w:leader="dot" w:pos="8296"/>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第四章 项目需求</w:t>
      </w:r>
      <w:r>
        <w:rPr>
          <w:rFonts w:hint="eastAsia" w:ascii="宋体" w:hAnsi="宋体" w:cs="宋体"/>
          <w:color w:val="auto"/>
          <w:szCs w:val="21"/>
          <w:highlight w:val="none"/>
        </w:rPr>
        <w:tab/>
      </w:r>
      <w:r>
        <w:rPr>
          <w:rFonts w:hint="eastAsia" w:ascii="宋体" w:hAnsi="宋体" w:cs="宋体"/>
          <w:color w:val="auto"/>
          <w:szCs w:val="21"/>
          <w:highlight w:val="none"/>
        </w:rPr>
        <w:t>20</w:t>
      </w:r>
    </w:p>
    <w:p w14:paraId="64112F7E">
      <w:pPr>
        <w:pStyle w:val="261"/>
        <w:tabs>
          <w:tab w:val="right" w:leader="dot" w:pos="8296"/>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第五章 评审方法及评审标准</w:t>
      </w:r>
      <w:r>
        <w:rPr>
          <w:rFonts w:hint="eastAsia" w:ascii="宋体" w:hAnsi="宋体" w:cs="宋体"/>
          <w:color w:val="auto"/>
          <w:szCs w:val="21"/>
          <w:highlight w:val="none"/>
        </w:rPr>
        <w:tab/>
      </w:r>
      <w:ins w:id="0" w:author="方头大狮子" w:date="2025-02-12T11:54:09Z">
        <w:r>
          <w:rPr>
            <w:rFonts w:hint="eastAsia" w:ascii="宋体" w:hAnsi="宋体" w:cs="宋体"/>
            <w:color w:val="auto"/>
            <w:szCs w:val="21"/>
            <w:highlight w:val="none"/>
            <w:lang w:val="en-US" w:eastAsia="zh-CN"/>
          </w:rPr>
          <w:t>33</w:t>
        </w:r>
      </w:ins>
    </w:p>
    <w:p w14:paraId="6ED91C9F">
      <w:pPr>
        <w:pStyle w:val="261"/>
        <w:tabs>
          <w:tab w:val="right" w:leader="dot" w:pos="8296"/>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第六章 竞争性磋商响应文件格式</w:t>
      </w:r>
      <w:r>
        <w:rPr>
          <w:rFonts w:hint="eastAsia" w:ascii="宋体" w:hAnsi="宋体" w:cs="宋体"/>
          <w:color w:val="auto"/>
          <w:szCs w:val="21"/>
          <w:highlight w:val="none"/>
        </w:rPr>
        <w:tab/>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p>
    <w:p w14:paraId="1ECBCDC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1B4FDC77">
      <w:pPr>
        <w:pStyle w:val="236"/>
        <w:spacing w:before="0" w:after="0" w:line="360" w:lineRule="auto"/>
        <w:ind w:firstLine="723"/>
        <w:jc w:val="center"/>
        <w:rPr>
          <w:rFonts w:hint="eastAsia" w:ascii="宋体" w:hAnsi="宋体"/>
          <w:color w:val="auto"/>
          <w:sz w:val="36"/>
          <w:szCs w:val="36"/>
          <w:highlight w:val="none"/>
        </w:rPr>
      </w:pPr>
      <w:r>
        <w:rPr>
          <w:rFonts w:ascii="宋体" w:hAnsi="宋体"/>
          <w:color w:val="auto"/>
          <w:sz w:val="36"/>
          <w:szCs w:val="36"/>
          <w:highlight w:val="none"/>
        </w:rPr>
        <w:br w:type="page" w:clear="all"/>
      </w:r>
      <w:bookmarkStart w:id="3" w:name="_Toc109304962"/>
      <w:r>
        <w:rPr>
          <w:rStyle w:val="89"/>
          <w:rFonts w:hint="eastAsia"/>
          <w:b/>
          <w:color w:val="auto"/>
          <w:highlight w:val="none"/>
        </w:rPr>
        <w:t>第一章 采购公告</w:t>
      </w:r>
      <w:bookmarkEnd w:id="3"/>
    </w:p>
    <w:p w14:paraId="72590724">
      <w:pPr>
        <w:pBdr>
          <w:top w:val="single" w:color="000000" w:sz="4" w:space="1"/>
          <w:left w:val="single" w:color="000000" w:sz="4" w:space="4"/>
          <w:bottom w:val="single" w:color="000000" w:sz="4" w:space="1"/>
          <w:right w:val="single" w:color="000000" w:sz="4" w:space="4"/>
        </w:pBdr>
        <w:spacing w:line="360"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19A13C1E">
      <w:pPr>
        <w:pBdr>
          <w:top w:val="single" w:color="000000" w:sz="4" w:space="1"/>
          <w:left w:val="single" w:color="000000" w:sz="4" w:space="4"/>
          <w:bottom w:val="single" w:color="000000" w:sz="4" w:space="1"/>
          <w:right w:val="single" w:color="000000" w:sz="4" w:space="4"/>
        </w:pBd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仪征市中医院DIP管理系统采购项目</w:t>
      </w:r>
      <w:r>
        <w:rPr>
          <w:rFonts w:hint="eastAsia" w:ascii="宋体" w:hAnsi="宋体" w:cs="宋体"/>
          <w:color w:val="auto"/>
          <w:szCs w:val="21"/>
          <w:highlight w:val="none"/>
        </w:rPr>
        <w:t>的潜在供应商可在</w:t>
      </w:r>
      <w:r>
        <w:rPr>
          <w:rFonts w:hint="eastAsia" w:ascii="宋体" w:hAnsi="宋体" w:cs="宋体"/>
          <w:color w:val="auto"/>
          <w:szCs w:val="21"/>
          <w:highlight w:val="none"/>
          <w:u w:val="single"/>
        </w:rPr>
        <w:t>“扬州市政府采购网”、“江苏政府采购网”自行免费下载</w:t>
      </w:r>
      <w:r>
        <w:rPr>
          <w:rFonts w:hint="eastAsia" w:ascii="宋体" w:hAnsi="宋体" w:cs="宋体"/>
          <w:color w:val="auto"/>
          <w:szCs w:val="21"/>
          <w:highlight w:val="none"/>
        </w:rPr>
        <w:t>采购文件，并于</w:t>
      </w:r>
      <w:r>
        <w:rPr>
          <w:rFonts w:hint="eastAsia" w:ascii="宋体" w:hAnsi="宋体" w:cs="宋体"/>
          <w:color w:val="auto"/>
          <w:szCs w:val="21"/>
          <w:highlight w:val="yellow"/>
          <w:u w:val="single"/>
        </w:rPr>
        <w:t>2024年</w:t>
      </w:r>
      <w:r>
        <w:rPr>
          <w:rFonts w:hint="eastAsia" w:ascii="宋体" w:hAnsi="宋体" w:cs="宋体"/>
          <w:color w:val="auto"/>
          <w:szCs w:val="21"/>
          <w:highlight w:val="yellow"/>
          <w:u w:val="single"/>
          <w:lang w:val="en-US" w:eastAsia="zh-CN"/>
        </w:rPr>
        <w:t>12月24日14点30分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108C6F7B">
      <w:pPr>
        <w:pStyle w:val="237"/>
        <w:spacing w:before="0" w:after="0" w:line="360" w:lineRule="auto"/>
        <w:ind w:firstLine="422"/>
        <w:rPr>
          <w:rFonts w:hint="eastAsia" w:ascii="宋体" w:hAnsi="宋体" w:cs="宋体"/>
          <w:bCs w:val="0"/>
          <w:color w:val="auto"/>
          <w:sz w:val="21"/>
          <w:szCs w:val="21"/>
          <w:highlight w:val="none"/>
        </w:rPr>
      </w:pPr>
      <w:bookmarkStart w:id="4" w:name="_Toc109304963"/>
      <w:r>
        <w:rPr>
          <w:rFonts w:hint="eastAsia" w:ascii="宋体" w:hAnsi="宋体" w:cs="宋体"/>
          <w:bCs w:val="0"/>
          <w:color w:val="auto"/>
          <w:sz w:val="21"/>
          <w:szCs w:val="21"/>
          <w:highlight w:val="none"/>
        </w:rPr>
        <w:t>一、项目基本情况</w:t>
      </w:r>
      <w:bookmarkEnd w:id="4"/>
    </w:p>
    <w:p w14:paraId="597F9496">
      <w:pPr>
        <w:spacing w:line="360" w:lineRule="auto"/>
        <w:ind w:firstLine="420"/>
        <w:rPr>
          <w:rFonts w:hint="eastAsia" w:ascii="宋体" w:hAnsi="宋体" w:eastAsia="宋体" w:cs="宋体"/>
          <w:color w:val="auto"/>
          <w:szCs w:val="21"/>
          <w:highlight w:val="none"/>
          <w:shd w:val="clear" w:color="auto" w:fill="FFFF00"/>
        </w:rPr>
      </w:pPr>
      <w:r>
        <w:rPr>
          <w:rFonts w:hint="eastAsia" w:ascii="宋体" w:hAnsi="宋体" w:cs="宋体"/>
          <w:color w:val="auto"/>
          <w:szCs w:val="21"/>
          <w:highlight w:val="none"/>
        </w:rPr>
        <w:t>1.项目编号：</w:t>
      </w:r>
      <w:r>
        <w:rPr>
          <w:rFonts w:hint="eastAsia" w:ascii="宋体" w:hAnsi="宋体" w:cs="宋体"/>
          <w:color w:val="auto"/>
          <w:szCs w:val="21"/>
          <w:highlight w:val="none"/>
          <w:shd w:val="clear" w:color="auto" w:fill="FFFF00"/>
          <w:lang w:eastAsia="zh-CN"/>
        </w:rPr>
        <w:t>JSZC-321000-JSHY-C2024-0452</w:t>
      </w:r>
    </w:p>
    <w:p w14:paraId="30035048">
      <w:pPr>
        <w:spacing w:line="360" w:lineRule="auto"/>
        <w:ind w:firstLine="420"/>
        <w:rPr>
          <w:rFonts w:hint="eastAsia" w:ascii="宋体" w:hAnsi="宋体" w:eastAsia="宋体" w:cs="宋体"/>
          <w:color w:val="auto"/>
          <w:szCs w:val="21"/>
          <w:highlight w:val="none"/>
        </w:rPr>
      </w:pPr>
      <w:r>
        <w:rPr>
          <w:rFonts w:hint="eastAsia" w:ascii="宋体" w:hAnsi="宋体" w:cs="宋体"/>
          <w:color w:val="auto"/>
          <w:szCs w:val="21"/>
          <w:highlight w:val="none"/>
        </w:rPr>
        <w:t>2.项目名称：仪征市中医院DIP管理系统采购项目</w:t>
      </w:r>
    </w:p>
    <w:p w14:paraId="19FFB72E">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3.采购方式：竞争性磋商</w:t>
      </w:r>
    </w:p>
    <w:p w14:paraId="26CD236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yellow"/>
          <w:lang w:val="en-US" w:eastAsia="zh-CN"/>
        </w:rPr>
        <w:t>60</w:t>
      </w:r>
      <w:r>
        <w:rPr>
          <w:rFonts w:hint="eastAsia" w:ascii="宋体" w:hAnsi="宋体" w:cs="宋体"/>
          <w:color w:val="auto"/>
          <w:szCs w:val="21"/>
          <w:highlight w:val="yellow"/>
        </w:rPr>
        <w:t>万元</w:t>
      </w:r>
    </w:p>
    <w:p w14:paraId="4F5290B7">
      <w:pPr>
        <w:spacing w:line="360" w:lineRule="auto"/>
        <w:ind w:firstLine="420"/>
        <w:rPr>
          <w:rFonts w:hint="eastAsia" w:ascii="宋体" w:hAnsi="宋体" w:cs="宋体"/>
          <w:color w:val="auto"/>
          <w:highlight w:val="yellow"/>
          <w:lang w:val="en-US" w:eastAsia="zh-CN"/>
        </w:rPr>
      </w:pPr>
      <w:r>
        <w:rPr>
          <w:rFonts w:hint="eastAsia" w:ascii="宋体" w:hAnsi="宋体" w:cs="宋体"/>
          <w:color w:val="auto"/>
          <w:szCs w:val="21"/>
          <w:highlight w:val="none"/>
        </w:rPr>
        <w:t>5.最高限</w:t>
      </w:r>
      <w:r>
        <w:rPr>
          <w:rFonts w:hint="eastAsia" w:ascii="宋体" w:hAnsi="宋体" w:eastAsia="宋体" w:cs="宋体"/>
          <w:color w:val="auto"/>
          <w:szCs w:val="21"/>
          <w:highlight w:val="none"/>
          <w:lang w:eastAsia="zh-CN"/>
        </w:rPr>
        <w:t>价：</w:t>
      </w:r>
      <w:r>
        <w:rPr>
          <w:rFonts w:hint="eastAsia" w:ascii="宋体" w:hAnsi="宋体" w:cs="宋体"/>
          <w:color w:val="auto"/>
          <w:szCs w:val="21"/>
          <w:highlight w:val="yellow"/>
          <w:lang w:val="en-US" w:eastAsia="zh-CN"/>
        </w:rPr>
        <w:t>60</w:t>
      </w:r>
      <w:r>
        <w:rPr>
          <w:rFonts w:hint="eastAsia" w:ascii="宋体" w:hAnsi="宋体" w:cs="宋体"/>
          <w:color w:val="auto"/>
          <w:szCs w:val="21"/>
          <w:highlight w:val="yellow"/>
        </w:rPr>
        <w:t>万元</w:t>
      </w:r>
    </w:p>
    <w:p w14:paraId="3A90FF98">
      <w:pPr>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6.采购需求：</w:t>
      </w:r>
      <w:r>
        <w:rPr>
          <w:rFonts w:hint="eastAsia" w:ascii="宋体" w:hAnsi="宋体"/>
          <w:color w:val="auto"/>
          <w:szCs w:val="21"/>
          <w:highlight w:val="none"/>
        </w:rPr>
        <w:t>详见磋商文件</w:t>
      </w:r>
    </w:p>
    <w:p w14:paraId="413C0456">
      <w:pPr>
        <w:spacing w:line="360" w:lineRule="auto"/>
        <w:ind w:firstLine="420"/>
        <w:rPr>
          <w:rFonts w:hint="eastAsia" w:ascii="宋体" w:hAnsi="宋体" w:cs="宋体"/>
          <w:color w:val="auto"/>
          <w:szCs w:val="21"/>
          <w:highlight w:val="yellow"/>
        </w:rPr>
      </w:pPr>
      <w:r>
        <w:rPr>
          <w:rFonts w:hint="eastAsia" w:ascii="宋体" w:hAnsi="宋体" w:cs="宋体"/>
          <w:color w:val="auto"/>
          <w:szCs w:val="21"/>
          <w:highlight w:val="yellow"/>
        </w:rPr>
        <w:t>7.</w:t>
      </w:r>
      <w:r>
        <w:rPr>
          <w:rFonts w:hint="eastAsia" w:ascii="宋体" w:hAnsi="宋体" w:cs="宋体"/>
          <w:color w:val="auto"/>
          <w:szCs w:val="21"/>
          <w:highlight w:val="yellow"/>
          <w:lang w:val="en-US" w:eastAsia="zh-CN"/>
        </w:rPr>
        <w:t>服务期</w:t>
      </w:r>
      <w:r>
        <w:rPr>
          <w:rFonts w:hint="eastAsia" w:ascii="宋体" w:hAnsi="宋体" w:cs="宋体"/>
          <w:color w:val="auto"/>
          <w:szCs w:val="21"/>
          <w:highlight w:val="yellow"/>
        </w:rPr>
        <w:t>：</w:t>
      </w:r>
    </w:p>
    <w:p w14:paraId="3D736C4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8.本项目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联合体响应</w:t>
      </w:r>
    </w:p>
    <w:p w14:paraId="7BF6C6DD">
      <w:pPr>
        <w:pStyle w:val="237"/>
        <w:spacing w:before="0" w:after="0" w:line="360" w:lineRule="auto"/>
        <w:ind w:firstLine="422"/>
        <w:rPr>
          <w:rFonts w:hint="eastAsia" w:ascii="宋体" w:hAnsi="宋体" w:cs="宋体"/>
          <w:bCs w:val="0"/>
          <w:color w:val="auto"/>
          <w:sz w:val="21"/>
          <w:szCs w:val="21"/>
          <w:highlight w:val="none"/>
        </w:rPr>
      </w:pPr>
      <w:bookmarkStart w:id="5" w:name="_Toc109304964"/>
      <w:r>
        <w:rPr>
          <w:rFonts w:hint="eastAsia" w:ascii="宋体" w:hAnsi="宋体" w:cs="宋体"/>
          <w:bCs w:val="0"/>
          <w:color w:val="auto"/>
          <w:sz w:val="21"/>
          <w:szCs w:val="21"/>
          <w:highlight w:val="none"/>
        </w:rPr>
        <w:t>二、申请人的资格要求：</w:t>
      </w:r>
      <w:bookmarkEnd w:id="5"/>
    </w:p>
    <w:p w14:paraId="458A0B04">
      <w:pPr>
        <w:keepNext w:val="0"/>
        <w:keepLines w:val="0"/>
        <w:pageBreakBefore w:val="0"/>
        <w:widowControl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3D90D917">
      <w:pPr>
        <w:keepNext w:val="0"/>
        <w:keepLines w:val="0"/>
        <w:pageBreakBefore w:val="0"/>
        <w:widowControl w:val="0"/>
        <w:spacing w:line="360" w:lineRule="auto"/>
        <w:ind w:firstLine="420"/>
        <w:rPr>
          <w:rFonts w:ascii="仿宋" w:hAnsi="仿宋" w:eastAsia="仿宋" w:cs="仿宋"/>
          <w:b/>
          <w:bCs/>
          <w:i/>
          <w:iCs/>
          <w:color w:val="auto"/>
          <w:sz w:val="21"/>
          <w:szCs w:val="21"/>
          <w:highlight w:val="none"/>
          <w:u w:val="single"/>
        </w:rPr>
      </w:pPr>
      <w:r>
        <w:rPr>
          <w:rFonts w:hint="eastAsia" w:ascii="仿宋" w:hAnsi="仿宋" w:eastAsia="仿宋" w:cs="仿宋"/>
          <w:i/>
          <w:iCs/>
          <w:color w:val="auto"/>
          <w:sz w:val="21"/>
          <w:szCs w:val="21"/>
          <w:highlight w:val="none"/>
          <w:u w:val="single"/>
          <w:lang w:val="en-US" w:bidi="ar-SA"/>
        </w:rPr>
        <w:t>（1）具有独立承担民事责任的能力</w:t>
      </w:r>
      <w:r>
        <w:rPr>
          <w:rFonts w:hint="eastAsia" w:ascii="仿宋" w:hAnsi="仿宋" w:eastAsia="仿宋" w:cs="仿宋"/>
          <w:b/>
          <w:bCs/>
          <w:i/>
          <w:iCs/>
          <w:color w:val="auto"/>
          <w:sz w:val="21"/>
          <w:szCs w:val="21"/>
          <w:highlight w:val="none"/>
          <w:u w:val="single"/>
          <w:lang w:val="en-US" w:bidi="ar-SA"/>
        </w:rPr>
        <w:t>（提供法人或者其他组织的营业执照；供应商为自然人的，提供其身份证）；</w:t>
      </w:r>
    </w:p>
    <w:p w14:paraId="1E49DAF0">
      <w:pPr>
        <w:keepNext w:val="0"/>
        <w:keepLines w:val="0"/>
        <w:pageBreakBefore w:val="0"/>
        <w:widowControl w:val="0"/>
        <w:spacing w:line="360" w:lineRule="auto"/>
        <w:ind w:firstLine="420"/>
        <w:rPr>
          <w:rFonts w:ascii="仿宋" w:hAnsi="仿宋" w:eastAsia="仿宋" w:cs="仿宋"/>
          <w:i/>
          <w:iCs/>
          <w:color w:val="auto"/>
          <w:sz w:val="21"/>
          <w:szCs w:val="21"/>
          <w:highlight w:val="none"/>
          <w:u w:val="single"/>
        </w:rPr>
      </w:pPr>
      <w:r>
        <w:rPr>
          <w:rFonts w:hint="eastAsia" w:ascii="仿宋" w:hAnsi="仿宋" w:eastAsia="仿宋" w:cs="仿宋"/>
          <w:i/>
          <w:iCs/>
          <w:color w:val="auto"/>
          <w:sz w:val="21"/>
          <w:szCs w:val="21"/>
          <w:highlight w:val="none"/>
          <w:u w:val="single"/>
          <w:lang w:val="en-US" w:bidi="ar-SA"/>
        </w:rPr>
        <w:t>（2）具有良好的商业信誉和健全的财务会计制度</w:t>
      </w:r>
      <w:r>
        <w:rPr>
          <w:rFonts w:hint="eastAsia" w:ascii="仿宋" w:hAnsi="仿宋" w:eastAsia="仿宋" w:cs="仿宋"/>
          <w:b/>
          <w:bCs/>
          <w:i/>
          <w:iCs/>
          <w:color w:val="auto"/>
          <w:sz w:val="21"/>
          <w:szCs w:val="21"/>
          <w:highlight w:val="none"/>
          <w:u w:val="single"/>
          <w:lang w:val="en-US" w:bidi="ar-SA"/>
        </w:rPr>
        <w:t>（提供202</w:t>
      </w:r>
      <w:r>
        <w:rPr>
          <w:rFonts w:hint="eastAsia" w:ascii="仿宋" w:hAnsi="仿宋" w:eastAsia="仿宋" w:cs="仿宋"/>
          <w:b/>
          <w:bCs/>
          <w:i/>
          <w:iCs/>
          <w:color w:val="auto"/>
          <w:sz w:val="21"/>
          <w:szCs w:val="21"/>
          <w:highlight w:val="yellow"/>
          <w:u w:val="single"/>
          <w:lang w:val="en-US" w:bidi="ar-SA"/>
        </w:rPr>
        <w:t>3</w:t>
      </w:r>
      <w:r>
        <w:rPr>
          <w:rFonts w:hint="eastAsia" w:ascii="仿宋" w:hAnsi="仿宋" w:eastAsia="仿宋" w:cs="仿宋"/>
          <w:b/>
          <w:bCs/>
          <w:i/>
          <w:iCs/>
          <w:color w:val="auto"/>
          <w:sz w:val="21"/>
          <w:szCs w:val="21"/>
          <w:highlight w:val="none"/>
          <w:u w:val="single"/>
          <w:lang w:val="en-US" w:bidi="ar-SA"/>
        </w:rPr>
        <w:t>年度</w:t>
      </w:r>
      <w:r>
        <w:rPr>
          <w:rFonts w:hint="eastAsia" w:ascii="仿宋" w:hAnsi="仿宋" w:eastAsia="仿宋" w:cs="仿宋"/>
          <w:b/>
          <w:bCs/>
          <w:i/>
          <w:iCs/>
          <w:color w:val="auto"/>
          <w:sz w:val="21"/>
          <w:szCs w:val="21"/>
          <w:highlight w:val="none"/>
          <w:u w:val="single"/>
          <w:lang w:val="en-US" w:eastAsia="zh-CN" w:bidi="ar-SA"/>
        </w:rPr>
        <w:t>或2024年度</w:t>
      </w:r>
      <w:r>
        <w:rPr>
          <w:rFonts w:hint="eastAsia" w:ascii="仿宋" w:hAnsi="仿宋" w:eastAsia="仿宋" w:cs="仿宋"/>
          <w:b/>
          <w:bCs/>
          <w:i/>
          <w:iCs/>
          <w:color w:val="auto"/>
          <w:sz w:val="21"/>
          <w:szCs w:val="21"/>
          <w:highlight w:val="none"/>
          <w:u w:val="single"/>
          <w:lang w:val="en-US" w:bidi="ar-SA"/>
        </w:rPr>
        <w:t>财务报告，至少包含资产负债表、利润表，或投标截止时间前六个月内银行出具的资信证明，成立不满一年的无需提供）；</w:t>
      </w:r>
    </w:p>
    <w:p w14:paraId="1B7EF7E8">
      <w:pPr>
        <w:keepNext w:val="0"/>
        <w:keepLines w:val="0"/>
        <w:pageBreakBefore w:val="0"/>
        <w:widowControl w:val="0"/>
        <w:spacing w:line="360" w:lineRule="auto"/>
        <w:ind w:firstLine="210"/>
        <w:rPr>
          <w:rFonts w:ascii="仿宋" w:hAnsi="仿宋" w:eastAsia="仿宋" w:cs="仿宋"/>
          <w:i/>
          <w:iCs/>
          <w:color w:val="auto"/>
          <w:sz w:val="21"/>
          <w:szCs w:val="21"/>
          <w:highlight w:val="none"/>
          <w:u w:val="single"/>
        </w:rPr>
      </w:pPr>
      <w:r>
        <w:rPr>
          <w:rFonts w:hint="eastAsia" w:ascii="仿宋" w:hAnsi="仿宋" w:eastAsia="仿宋" w:cs="仿宋"/>
          <w:i/>
          <w:iCs/>
          <w:color w:val="auto"/>
          <w:sz w:val="21"/>
          <w:szCs w:val="21"/>
          <w:highlight w:val="none"/>
          <w:u w:val="single"/>
          <w:lang w:val="en-US" w:bidi="ar-SA"/>
        </w:rPr>
        <w:t>（3）具有履行合同所必需的设备和专业技术能力</w:t>
      </w:r>
      <w:r>
        <w:rPr>
          <w:rFonts w:hint="eastAsia" w:ascii="仿宋" w:hAnsi="仿宋" w:eastAsia="仿宋" w:cs="仿宋"/>
          <w:b/>
          <w:bCs/>
          <w:i/>
          <w:iCs/>
          <w:color w:val="auto"/>
          <w:sz w:val="21"/>
          <w:szCs w:val="21"/>
          <w:highlight w:val="none"/>
          <w:u w:val="single"/>
          <w:lang w:val="en-US" w:bidi="ar-SA"/>
        </w:rPr>
        <w:t>（供应商根据履行采购项目合同需要，提供履行合同所必需的设备和专业技术能力的声明函或证明材料）；</w:t>
      </w:r>
    </w:p>
    <w:p w14:paraId="7BEF9151">
      <w:pPr>
        <w:keepNext w:val="0"/>
        <w:keepLines w:val="0"/>
        <w:pageBreakBefore w:val="0"/>
        <w:widowControl w:val="0"/>
        <w:spacing w:line="360" w:lineRule="auto"/>
        <w:ind w:firstLine="210"/>
        <w:rPr>
          <w:rFonts w:ascii="仿宋" w:hAnsi="仿宋" w:eastAsia="仿宋" w:cs="仿宋"/>
          <w:b/>
          <w:bCs/>
          <w:i/>
          <w:iCs/>
          <w:color w:val="auto"/>
          <w:sz w:val="21"/>
          <w:szCs w:val="21"/>
          <w:highlight w:val="none"/>
          <w:u w:val="single"/>
        </w:rPr>
      </w:pPr>
      <w:r>
        <w:rPr>
          <w:rFonts w:hint="eastAsia" w:ascii="仿宋" w:hAnsi="仿宋" w:eastAsia="仿宋" w:cs="仿宋"/>
          <w:i/>
          <w:iCs/>
          <w:color w:val="auto"/>
          <w:sz w:val="21"/>
          <w:szCs w:val="21"/>
          <w:highlight w:val="none"/>
          <w:u w:val="single"/>
          <w:lang w:val="en-US" w:bidi="ar-SA"/>
        </w:rPr>
        <w:t>（4）有依法缴纳税收和社会保障资金的良好记录</w:t>
      </w:r>
      <w:r>
        <w:rPr>
          <w:rFonts w:hint="eastAsia" w:ascii="仿宋" w:hAnsi="仿宋" w:eastAsia="仿宋" w:cs="仿宋"/>
          <w:b/>
          <w:bCs/>
          <w:i/>
          <w:iCs/>
          <w:color w:val="auto"/>
          <w:sz w:val="21"/>
          <w:szCs w:val="21"/>
          <w:highlight w:val="none"/>
          <w:u w:val="single"/>
          <w:lang w:val="en-US" w:bidi="ar-SA"/>
        </w:rPr>
        <w:t>（提供2024年</w:t>
      </w:r>
      <w:r>
        <w:rPr>
          <w:rFonts w:hint="eastAsia" w:ascii="仿宋" w:hAnsi="仿宋" w:eastAsia="仿宋" w:cs="仿宋"/>
          <w:b/>
          <w:bCs/>
          <w:i/>
          <w:iCs/>
          <w:color w:val="auto"/>
          <w:sz w:val="21"/>
          <w:szCs w:val="21"/>
          <w:highlight w:val="none"/>
          <w:u w:val="single"/>
          <w:lang w:val="en-US" w:eastAsia="zh-CN" w:bidi="ar-SA"/>
        </w:rPr>
        <w:t>10</w:t>
      </w:r>
      <w:r>
        <w:rPr>
          <w:rFonts w:hint="eastAsia" w:ascii="仿宋" w:hAnsi="仿宋" w:eastAsia="仿宋" w:cs="仿宋"/>
          <w:b/>
          <w:bCs/>
          <w:i/>
          <w:iCs/>
          <w:color w:val="auto"/>
          <w:sz w:val="21"/>
          <w:szCs w:val="21"/>
          <w:highlight w:val="none"/>
          <w:u w:val="single"/>
          <w:lang w:val="en-US" w:bidi="ar-SA"/>
        </w:rPr>
        <w:t>月至今）中任一月份的依法缴纳税收和社会保险费的相关材料（提供相关主管部门证明或银行代扣证明的复印件，根据国家相关政策免缴或迟缴的需提供相关证明材料）；</w:t>
      </w:r>
    </w:p>
    <w:p w14:paraId="66DCB281">
      <w:pPr>
        <w:keepNext w:val="0"/>
        <w:keepLines w:val="0"/>
        <w:pageBreakBefore w:val="0"/>
        <w:widowControl w:val="0"/>
        <w:spacing w:line="360" w:lineRule="auto"/>
        <w:ind w:firstLine="420"/>
        <w:rPr>
          <w:rFonts w:ascii="仿宋" w:hAnsi="仿宋" w:eastAsia="仿宋" w:cs="仿宋"/>
          <w:i/>
          <w:iCs/>
          <w:color w:val="auto"/>
          <w:sz w:val="21"/>
          <w:szCs w:val="21"/>
          <w:highlight w:val="none"/>
          <w:u w:val="single"/>
        </w:rPr>
      </w:pPr>
      <w:r>
        <w:rPr>
          <w:rFonts w:hint="eastAsia" w:ascii="仿宋" w:hAnsi="仿宋" w:eastAsia="仿宋" w:cs="仿宋"/>
          <w:i/>
          <w:iCs/>
          <w:color w:val="auto"/>
          <w:sz w:val="21"/>
          <w:szCs w:val="21"/>
          <w:highlight w:val="none"/>
          <w:u w:val="single"/>
          <w:lang w:val="en-US" w:bidi="ar-SA"/>
        </w:rPr>
        <w:t>（5）参加政府采购活动前三年内，在经营活动中没有重大违法记录</w:t>
      </w:r>
      <w:r>
        <w:rPr>
          <w:rFonts w:hint="eastAsia" w:ascii="仿宋" w:hAnsi="仿宋" w:eastAsia="仿宋" w:cs="仿宋"/>
          <w:b/>
          <w:bCs/>
          <w:i/>
          <w:iCs/>
          <w:color w:val="auto"/>
          <w:sz w:val="21"/>
          <w:szCs w:val="21"/>
          <w:highlight w:val="none"/>
          <w:u w:val="single"/>
          <w:lang w:val="en-US" w:bidi="ar-SA"/>
        </w:rPr>
        <w:t>（提供承诺书）</w:t>
      </w:r>
      <w:r>
        <w:rPr>
          <w:rFonts w:hint="eastAsia" w:ascii="仿宋" w:hAnsi="仿宋" w:eastAsia="仿宋" w:cs="仿宋"/>
          <w:i/>
          <w:iCs/>
          <w:color w:val="auto"/>
          <w:sz w:val="21"/>
          <w:szCs w:val="21"/>
          <w:highlight w:val="none"/>
          <w:u w:val="single"/>
          <w:lang w:val="en-US" w:bidi="ar-SA"/>
        </w:rPr>
        <w:t>；</w:t>
      </w:r>
    </w:p>
    <w:p w14:paraId="76FBA914">
      <w:pPr>
        <w:keepNext w:val="0"/>
        <w:keepLines w:val="0"/>
        <w:pageBreakBefore w:val="0"/>
        <w:widowControl w:val="0"/>
        <w:spacing w:line="360" w:lineRule="auto"/>
        <w:ind w:firstLine="420"/>
        <w:rPr>
          <w:rFonts w:ascii="仿宋" w:hAnsi="仿宋" w:eastAsia="仿宋" w:cs="仿宋"/>
          <w:i/>
          <w:iCs/>
          <w:color w:val="auto"/>
          <w:sz w:val="21"/>
          <w:szCs w:val="21"/>
          <w:highlight w:val="none"/>
          <w:u w:val="single"/>
        </w:rPr>
      </w:pPr>
      <w:r>
        <w:rPr>
          <w:rFonts w:hint="eastAsia" w:ascii="仿宋" w:hAnsi="仿宋" w:eastAsia="仿宋" w:cs="仿宋"/>
          <w:i/>
          <w:iCs/>
          <w:color w:val="auto"/>
          <w:sz w:val="21"/>
          <w:szCs w:val="21"/>
          <w:highlight w:val="none"/>
          <w:u w:val="single"/>
          <w:lang w:val="en-US" w:bidi="ar-SA"/>
        </w:rPr>
        <w:t>（6）法律、行政法规规定的其他条件。</w:t>
      </w:r>
    </w:p>
    <w:p w14:paraId="74E6E745">
      <w:pPr>
        <w:keepNext w:val="0"/>
        <w:keepLines w:val="0"/>
        <w:pageBreakBefore w:val="0"/>
        <w:widowControl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w:t>
      </w:r>
    </w:p>
    <w:p w14:paraId="5EC1C21A">
      <w:pPr>
        <w:keepNext w:val="0"/>
        <w:keepLines w:val="0"/>
        <w:pageBreakBefore w:val="0"/>
        <w:widowControl w:val="0"/>
        <w:spacing w:line="360" w:lineRule="auto"/>
        <w:ind w:firstLine="42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本项目专门面向中小企业采购，供应商必须在响应文件中提供中小企业声明函。本项目所属行业为“软件和信息技术服务业”。</w:t>
      </w:r>
    </w:p>
    <w:p w14:paraId="714F6720">
      <w:pPr>
        <w:keepNext w:val="0"/>
        <w:keepLines w:val="0"/>
        <w:pageBreakBefore w:val="0"/>
        <w:widowControl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3.本项目的特定资格要求：</w:t>
      </w:r>
    </w:p>
    <w:p w14:paraId="018BF3CE">
      <w:pPr>
        <w:pStyle w:val="16"/>
        <w:keepNext w:val="0"/>
        <w:keepLines w:val="0"/>
        <w:pageBreakBefore w:val="0"/>
        <w:widowControl w:val="0"/>
        <w:spacing w:after="0" w:line="360" w:lineRule="auto"/>
        <w:ind w:firstLine="420"/>
        <w:rPr>
          <w:rFonts w:hint="eastAsia" w:ascii="仿宋" w:hAnsi="仿宋" w:eastAsia="仿宋" w:cs="仿宋"/>
          <w:i/>
          <w:iCs/>
          <w:color w:val="auto"/>
          <w:sz w:val="21"/>
          <w:szCs w:val="21"/>
          <w:highlight w:val="none"/>
          <w:u w:val="single"/>
          <w:lang w:val="en-US" w:bidi="ar-SA"/>
        </w:rPr>
      </w:pPr>
      <w:r>
        <w:rPr>
          <w:rFonts w:hint="eastAsia" w:ascii="仿宋" w:hAnsi="仿宋" w:eastAsia="仿宋" w:cs="仿宋"/>
          <w:i/>
          <w:iCs/>
          <w:color w:val="auto"/>
          <w:sz w:val="21"/>
          <w:szCs w:val="21"/>
          <w:highlight w:val="none"/>
          <w:u w:val="single"/>
          <w:lang w:val="en-US" w:bidi="ar-SA"/>
        </w:rPr>
        <w:t>1）拒绝被“信用中国”（www.creditchina.gov.cn）、“中国政府采购网”(www.ccgp.gov.cn）、“信用江苏（http://credit.jiangsu.gov.cn/）列入失信被执行人、重大税收违法案件当事人、政府采购严重失信行为的投标人参加投标。</w:t>
      </w:r>
    </w:p>
    <w:p w14:paraId="60606674">
      <w:pPr>
        <w:pStyle w:val="16"/>
        <w:keepNext w:val="0"/>
        <w:keepLines w:val="0"/>
        <w:pageBreakBefore w:val="0"/>
        <w:widowControl w:val="0"/>
        <w:spacing w:after="0" w:line="360" w:lineRule="auto"/>
        <w:ind w:firstLine="420"/>
        <w:rPr>
          <w:rFonts w:hint="eastAsia" w:ascii="仿宋" w:hAnsi="仿宋" w:eastAsia="仿宋" w:cs="仿宋"/>
          <w:i/>
          <w:iCs/>
          <w:color w:val="auto"/>
          <w:sz w:val="21"/>
          <w:szCs w:val="21"/>
          <w:highlight w:val="none"/>
          <w:u w:val="single"/>
          <w:lang w:val="en-US" w:eastAsia="zh-CN" w:bidi="ar-SA"/>
        </w:rPr>
      </w:pPr>
      <w:r>
        <w:rPr>
          <w:rFonts w:hint="eastAsia" w:ascii="仿宋" w:hAnsi="仿宋" w:eastAsia="仿宋" w:cs="仿宋"/>
          <w:i/>
          <w:iCs/>
          <w:color w:val="auto"/>
          <w:sz w:val="21"/>
          <w:szCs w:val="21"/>
          <w:highlight w:val="none"/>
          <w:u w:val="single"/>
          <w:lang w:val="en-US" w:eastAsia="zh-CN" w:bidi="ar-SA"/>
        </w:rPr>
        <w:t>2）</w:t>
      </w:r>
      <w:r>
        <w:rPr>
          <w:rFonts w:hint="eastAsia" w:ascii="仿宋" w:hAnsi="仿宋" w:eastAsia="仿宋" w:cs="仿宋"/>
          <w:i/>
          <w:iCs/>
          <w:color w:val="auto"/>
          <w:sz w:val="21"/>
          <w:szCs w:val="21"/>
          <w:highlight w:val="none"/>
          <w:u w:val="single"/>
          <w:lang w:val="en-US"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BB5589B">
      <w:pPr>
        <w:spacing w:line="360" w:lineRule="auto"/>
        <w:ind w:firstLine="422"/>
        <w:rPr>
          <w:rFonts w:hint="eastAsia" w:ascii="宋体" w:hAnsi="宋体" w:cs="宋体"/>
          <w:b/>
          <w:bCs/>
          <w:color w:val="auto"/>
          <w:szCs w:val="21"/>
          <w:highlight w:val="none"/>
        </w:rPr>
      </w:pPr>
      <w:bookmarkStart w:id="6" w:name="_Toc109304965"/>
      <w:r>
        <w:rPr>
          <w:rFonts w:hint="eastAsia" w:ascii="宋体" w:hAnsi="宋体" w:cs="宋体"/>
          <w:b/>
          <w:bCs/>
          <w:color w:val="auto"/>
          <w:szCs w:val="21"/>
          <w:highlight w:val="none"/>
        </w:rPr>
        <w:t>三、获取采购文件</w:t>
      </w:r>
      <w:bookmarkEnd w:id="6"/>
    </w:p>
    <w:p w14:paraId="498EC011">
      <w:pPr>
        <w:spacing w:line="360" w:lineRule="auto"/>
        <w:ind w:firstLine="420"/>
        <w:rPr>
          <w:rFonts w:hint="eastAsia" w:ascii="宋体" w:hAnsi="宋体" w:cs="宋体"/>
          <w:color w:val="auto"/>
          <w:highlight w:val="none"/>
        </w:rPr>
      </w:pPr>
      <w:r>
        <w:rPr>
          <w:rFonts w:hint="eastAsia" w:ascii="宋体" w:hAnsi="宋体" w:cs="宋体"/>
          <w:color w:val="auto"/>
          <w:szCs w:val="21"/>
          <w:highlight w:val="none"/>
        </w:rPr>
        <w:t>1.时间：</w:t>
      </w:r>
      <w:r>
        <w:rPr>
          <w:rFonts w:hint="eastAsia" w:ascii="宋体" w:hAnsi="宋体" w:cs="宋体"/>
          <w:color w:val="auto"/>
          <w:highlight w:val="none"/>
        </w:rPr>
        <w:t>自磋商公告发布之日起5个工作日。</w:t>
      </w:r>
    </w:p>
    <w:p w14:paraId="41FA7930">
      <w:pPr>
        <w:spacing w:line="360" w:lineRule="auto"/>
        <w:ind w:firstLine="422"/>
        <w:rPr>
          <w:rFonts w:hint="eastAsia" w:ascii="宋体" w:hAnsi="宋体"/>
          <w:b/>
          <w:bCs/>
          <w:color w:val="auto"/>
          <w:szCs w:val="21"/>
          <w:highlight w:val="none"/>
        </w:rPr>
      </w:pPr>
      <w:bookmarkStart w:id="7" w:name="_Toc109304966"/>
      <w:r>
        <w:rPr>
          <w:rFonts w:hint="eastAsia" w:ascii="宋体" w:hAnsi="宋体"/>
          <w:b/>
          <w:bCs/>
          <w:color w:val="auto"/>
          <w:szCs w:val="21"/>
          <w:highlight w:val="none"/>
        </w:rPr>
        <w:t>2.获取方式：本项目采用网上注册登记方式。</w:t>
      </w:r>
    </w:p>
    <w:p w14:paraId="7F68F040">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3.潜在供应商访问政府采购管理交易系统（苏采云）的网络地址和方法：</w:t>
      </w:r>
    </w:p>
    <w:p w14:paraId="33536B37">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7DF1C834">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（2）“CA数字证书”的获取：供应商需办理CA锁，“苏采云”系统目前仅支持“苏采云”系统下的政务CA，省内各地区办理的“苏采云”系统下的政务CA全省通用。</w:t>
      </w:r>
    </w:p>
    <w:p w14:paraId="7301DE16">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（3）“CA数字证书”的办理材料以及供应商操作手册详见：</w:t>
      </w:r>
    </w:p>
    <w:p w14:paraId="6F53BD66">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http://zfcg.yangzhou.gov.cn/zfcg/xzzx/202309/4d7de1f7865f4a2894fc22bc452f94d8.shtml。</w:t>
      </w:r>
    </w:p>
    <w:p w14:paraId="7694A7DE">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（4）潜在供应商访问“苏采云”系统的网络地址和方法：“苏采云”系统的网址：http://jszfcg.jsczt.cn/。</w:t>
      </w:r>
    </w:p>
    <w:p w14:paraId="781D62D2">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（5）采购文件（后缀名为“.kedt”）、供应商操作手册及政府采购客户端工具也可通过“苏采云”系统--已报名项目--报名详情页面内相应链接进行下载。</w:t>
      </w:r>
    </w:p>
    <w:p w14:paraId="1B29D396">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（6）招标代理机构（采购代理机构）将数据电文形式的采购文件加载至“苏采云”系统，供潜在供应商下载或者查阅。     </w:t>
      </w:r>
    </w:p>
    <w:p w14:paraId="2EECDD8E">
      <w:pPr>
        <w:spacing w:line="360" w:lineRule="auto"/>
        <w:ind w:firstLine="422"/>
        <w:rPr>
          <w:rFonts w:hint="eastAsia" w:ascii="宋体" w:hAnsi="宋体"/>
          <w:b/>
          <w:bCs/>
          <w:color w:val="auto"/>
          <w:szCs w:val="21"/>
          <w:highlight w:val="none"/>
        </w:rPr>
      </w:pPr>
      <w:r>
        <w:rPr>
          <w:rFonts w:hint="eastAsia" w:ascii="宋体" w:hAnsi="宋体"/>
          <w:b/>
          <w:bCs/>
          <w:color w:val="auto"/>
          <w:szCs w:val="21"/>
          <w:highlight w:val="none"/>
        </w:rPr>
        <w:t>（7）苏采云系统使用谷歌浏览器参与不见面开标。</w:t>
      </w:r>
    </w:p>
    <w:p w14:paraId="5BE19BC4">
      <w:pPr>
        <w:pStyle w:val="237"/>
        <w:spacing w:before="0" w:after="0" w:line="360" w:lineRule="auto"/>
        <w:ind w:firstLine="422"/>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四、响应文件提交</w:t>
      </w:r>
      <w:bookmarkEnd w:id="7"/>
    </w:p>
    <w:p w14:paraId="7B383C33">
      <w:pPr>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1.截止时间：</w:t>
      </w:r>
      <w:r>
        <w:rPr>
          <w:rFonts w:hint="eastAsia" w:ascii="宋体" w:hAnsi="宋体" w:cs="宋体"/>
          <w:color w:val="auto"/>
          <w:szCs w:val="21"/>
          <w:highlight w:val="yellow"/>
          <w:u w:val="single"/>
        </w:rPr>
        <w:t>2024年</w:t>
      </w:r>
      <w:r>
        <w:rPr>
          <w:rFonts w:hint="eastAsia" w:ascii="宋体" w:hAnsi="宋体" w:cs="宋体"/>
          <w:color w:val="auto"/>
          <w:szCs w:val="21"/>
          <w:highlight w:val="yellow"/>
          <w:u w:val="single"/>
          <w:lang w:val="en-US" w:eastAsia="zh-CN"/>
        </w:rPr>
        <w:t>12月24日14点30分</w:t>
      </w:r>
      <w:r>
        <w:rPr>
          <w:rFonts w:hint="eastAsia" w:ascii="宋体" w:hAnsi="宋体" w:cs="宋体"/>
          <w:color w:val="auto"/>
          <w:szCs w:val="21"/>
          <w:highlight w:val="yellow"/>
        </w:rPr>
        <w:t>（北京时间</w:t>
      </w:r>
      <w:r>
        <w:rPr>
          <w:rFonts w:hint="eastAsia" w:ascii="宋体" w:hAnsi="宋体" w:cs="宋体"/>
          <w:color w:val="auto"/>
          <w:szCs w:val="21"/>
          <w:highlight w:val="none"/>
        </w:rPr>
        <w:t>）</w:t>
      </w:r>
    </w:p>
    <w:p w14:paraId="1C60E239">
      <w:pPr>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2.响应文件提交地点：“苏采云”系统（网址： http://jszfcg.jsczt.cn/）</w:t>
      </w:r>
    </w:p>
    <w:p w14:paraId="2EBC3B56">
      <w:pPr>
        <w:pStyle w:val="237"/>
        <w:spacing w:before="0" w:after="0" w:line="360" w:lineRule="auto"/>
        <w:ind w:firstLine="422"/>
        <w:rPr>
          <w:rFonts w:hint="eastAsia" w:ascii="宋体" w:hAnsi="宋体" w:cs="宋体"/>
          <w:color w:val="auto"/>
          <w:sz w:val="21"/>
          <w:szCs w:val="21"/>
          <w:highlight w:val="none"/>
        </w:rPr>
      </w:pPr>
      <w:bookmarkStart w:id="8" w:name="_Toc109304967"/>
      <w:r>
        <w:rPr>
          <w:rFonts w:hint="eastAsia" w:ascii="宋体" w:hAnsi="宋体" w:cs="宋体"/>
          <w:color w:val="auto"/>
          <w:sz w:val="21"/>
          <w:szCs w:val="21"/>
          <w:highlight w:val="none"/>
        </w:rPr>
        <w:t>五、开启</w:t>
      </w:r>
      <w:bookmarkEnd w:id="8"/>
    </w:p>
    <w:p w14:paraId="590446B3">
      <w:pPr>
        <w:pStyle w:val="238"/>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1.开启时间:</w:t>
      </w:r>
      <w:r>
        <w:rPr>
          <w:rFonts w:hint="eastAsia" w:ascii="宋体" w:hAnsi="宋体" w:cs="宋体"/>
          <w:color w:val="auto"/>
          <w:szCs w:val="21"/>
          <w:highlight w:val="yellow"/>
          <w:u w:val="single"/>
        </w:rPr>
        <w:t>2024年</w:t>
      </w:r>
      <w:r>
        <w:rPr>
          <w:rFonts w:hint="eastAsia" w:ascii="宋体" w:hAnsi="宋体" w:cs="宋体"/>
          <w:color w:val="auto"/>
          <w:szCs w:val="21"/>
          <w:highlight w:val="yellow"/>
          <w:u w:val="single"/>
          <w:lang w:val="en-US" w:eastAsia="zh-CN"/>
        </w:rPr>
        <w:t>12月24日14点30</w:t>
      </w:r>
      <w:r>
        <w:rPr>
          <w:rFonts w:hint="eastAsia" w:ascii="宋体" w:hAnsi="宋体" w:cs="宋体"/>
          <w:color w:val="auto"/>
          <w:szCs w:val="21"/>
          <w:highlight w:val="none"/>
          <w:u w:val="single"/>
          <w:lang w:val="en-US" w:eastAsia="zh-CN"/>
        </w:rPr>
        <w:t>分</w:t>
      </w:r>
      <w:r>
        <w:rPr>
          <w:rFonts w:hint="eastAsia" w:ascii="宋体" w:hAnsi="宋体" w:cs="宋体"/>
          <w:color w:val="auto"/>
          <w:szCs w:val="21"/>
          <w:highlight w:val="none"/>
        </w:rPr>
        <w:t>（北京时间）</w:t>
      </w:r>
    </w:p>
    <w:p w14:paraId="104A688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2.响应文件开启地点：“苏采云”系统（网址： http://jszfcg.jsczt.cn/）</w:t>
      </w:r>
    </w:p>
    <w:p w14:paraId="78D0169A">
      <w:pPr>
        <w:pStyle w:val="237"/>
        <w:spacing w:before="0" w:after="0" w:line="360" w:lineRule="auto"/>
        <w:ind w:firstLine="422"/>
        <w:rPr>
          <w:rFonts w:hint="eastAsia" w:ascii="宋体" w:hAnsi="宋体" w:cs="宋体"/>
          <w:bCs w:val="0"/>
          <w:color w:val="auto"/>
          <w:sz w:val="21"/>
          <w:szCs w:val="21"/>
          <w:highlight w:val="none"/>
        </w:rPr>
      </w:pPr>
      <w:bookmarkStart w:id="9" w:name="_Toc109304968"/>
      <w:r>
        <w:rPr>
          <w:rFonts w:hint="eastAsia" w:ascii="宋体" w:hAnsi="宋体" w:cs="宋体"/>
          <w:bCs w:val="0"/>
          <w:color w:val="auto"/>
          <w:sz w:val="21"/>
          <w:szCs w:val="21"/>
          <w:highlight w:val="none"/>
        </w:rPr>
        <w:t>六、公告期限</w:t>
      </w:r>
      <w:bookmarkEnd w:id="9"/>
    </w:p>
    <w:p w14:paraId="4A48E551">
      <w:pPr>
        <w:spacing w:line="360" w:lineRule="auto"/>
        <w:ind w:firstLine="420"/>
        <w:rPr>
          <w:rFonts w:hint="eastAsia" w:ascii="宋体" w:hAnsi="宋体" w:cs="宋体"/>
          <w:color w:val="auto"/>
          <w:highlight w:val="none"/>
        </w:rPr>
      </w:pPr>
      <w:r>
        <w:rPr>
          <w:rFonts w:hint="eastAsia" w:ascii="宋体" w:hAnsi="宋体" w:cs="宋体"/>
          <w:color w:val="auto"/>
          <w:highlight w:val="none"/>
        </w:rPr>
        <w:t>自本公告发布之日起</w:t>
      </w:r>
      <w:r>
        <w:rPr>
          <w:rFonts w:hint="eastAsia" w:ascii="宋体" w:hAnsi="宋体" w:cs="宋体"/>
          <w:color w:val="auto"/>
          <w:highlight w:val="none"/>
          <w:lang w:val="en-US" w:eastAsia="zh-CN"/>
        </w:rPr>
        <w:t>3</w:t>
      </w:r>
      <w:r>
        <w:rPr>
          <w:rFonts w:hint="eastAsia" w:ascii="宋体" w:hAnsi="宋体" w:cs="宋体"/>
          <w:color w:val="auto"/>
          <w:highlight w:val="none"/>
        </w:rPr>
        <w:t>个工作日。</w:t>
      </w:r>
    </w:p>
    <w:p w14:paraId="3FAB37B0">
      <w:pPr>
        <w:pStyle w:val="237"/>
        <w:spacing w:before="0" w:after="0" w:line="360" w:lineRule="auto"/>
        <w:ind w:firstLine="422"/>
        <w:rPr>
          <w:rFonts w:hint="eastAsia" w:ascii="宋体" w:hAnsi="宋体" w:cs="宋体"/>
          <w:color w:val="auto"/>
          <w:sz w:val="21"/>
          <w:szCs w:val="21"/>
          <w:highlight w:val="none"/>
        </w:rPr>
      </w:pPr>
      <w:bookmarkStart w:id="10" w:name="_Toc109304969"/>
      <w:r>
        <w:rPr>
          <w:rFonts w:hint="eastAsia" w:ascii="宋体" w:hAnsi="宋体" w:cs="宋体"/>
          <w:color w:val="auto"/>
          <w:sz w:val="21"/>
          <w:szCs w:val="21"/>
          <w:highlight w:val="none"/>
        </w:rPr>
        <w:t>七、其他补充事宜</w:t>
      </w:r>
      <w:bookmarkEnd w:id="10"/>
    </w:p>
    <w:p w14:paraId="3C4CBD81">
      <w:pPr>
        <w:spacing w:line="360" w:lineRule="auto"/>
        <w:ind w:firstLine="422"/>
        <w:rPr>
          <w:rFonts w:hint="eastAsia" w:ascii="宋体" w:hAnsi="宋体" w:cs="宋体"/>
          <w:b/>
          <w:bCs/>
          <w:color w:val="auto"/>
          <w:highlight w:val="none"/>
        </w:rPr>
      </w:pPr>
      <w:bookmarkStart w:id="11" w:name="_Toc109304970"/>
      <w:r>
        <w:rPr>
          <w:rFonts w:hint="eastAsia" w:ascii="宋体" w:hAnsi="宋体" w:cs="宋体"/>
          <w:b/>
          <w:bCs/>
          <w:color w:val="auto"/>
          <w:highlight w:val="none"/>
        </w:rPr>
        <w:t>1.本次采购采用“政府采购管理交易系统（苏采云）”，招标、投标、评标和中标（成交）结果发布全程电子化，开标方式为不见面开标。供应商应当按照《政府采购管理交易系统（苏采云）供应商操作手册》参加投标活动。如供应商未按要求操作，由此所产生的风险由供应商自行承担。</w:t>
      </w:r>
    </w:p>
    <w:p w14:paraId="5F3199DA">
      <w:pPr>
        <w:spacing w:line="360" w:lineRule="auto"/>
        <w:ind w:firstLine="422"/>
        <w:rPr>
          <w:rFonts w:hint="eastAsia" w:ascii="宋体" w:hAnsi="宋体" w:cs="宋体"/>
          <w:b/>
          <w:bCs/>
          <w:color w:val="auto"/>
          <w:highlight w:val="none"/>
        </w:rPr>
      </w:pPr>
      <w:r>
        <w:rPr>
          <w:rFonts w:hint="eastAsia" w:ascii="宋体" w:hAnsi="宋体" w:cs="宋体"/>
          <w:b/>
          <w:bCs/>
          <w:color w:val="auto"/>
          <w:highlight w:val="none"/>
        </w:rPr>
        <w:t>2.供应商如确定参加磋商，可自行下载采购文件及有关资料，按照《操作手册》进行注册，领取CA和办理电子签章，并按《操作手册》要求制作、上传电子投标文件，技术支持联系方式：</w:t>
      </w:r>
      <w:r>
        <w:rPr>
          <w:rFonts w:hint="eastAsia" w:ascii="宋体" w:hAnsi="宋体"/>
          <w:b/>
          <w:bCs/>
          <w:color w:val="auto"/>
          <w:szCs w:val="21"/>
          <w:highlight w:val="none"/>
        </w:rPr>
        <w:t>13813140731</w:t>
      </w:r>
      <w:r>
        <w:rPr>
          <w:rFonts w:hint="eastAsia" w:ascii="宋体" w:hAnsi="宋体" w:cs="宋体"/>
          <w:b/>
          <w:bCs/>
          <w:color w:val="auto"/>
          <w:highlight w:val="none"/>
        </w:rPr>
        <w:t>。</w:t>
      </w:r>
    </w:p>
    <w:p w14:paraId="71E3BBDF">
      <w:pPr>
        <w:widowControl/>
        <w:spacing w:line="360" w:lineRule="auto"/>
        <w:ind w:firstLine="422"/>
        <w:jc w:val="left"/>
        <w:rPr>
          <w:rFonts w:hint="eastAsia" w:ascii="宋体" w:hAnsi="宋体" w:cs="宋体"/>
          <w:b/>
          <w:color w:val="auto"/>
          <w:highlight w:val="none"/>
        </w:rPr>
      </w:pPr>
      <w:r>
        <w:rPr>
          <w:rFonts w:hint="eastAsia" w:ascii="宋体" w:hAnsi="宋体" w:cs="宋体"/>
          <w:b/>
          <w:color w:val="auto"/>
          <w:highlight w:val="none"/>
        </w:rPr>
        <w:t>3.</w:t>
      </w:r>
      <w:r>
        <w:rPr>
          <w:rFonts w:hint="eastAsia" w:ascii="宋体" w:hAnsi="宋体" w:cs="宋体"/>
          <w:b/>
          <w:bCs/>
          <w:color w:val="auto"/>
          <w:szCs w:val="21"/>
          <w:highlight w:val="none"/>
          <w:shd w:val="clear" w:color="auto" w:fill="FFFFFF"/>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r>
        <w:rPr>
          <w:rFonts w:hint="eastAsia" w:ascii="宋体" w:hAnsi="宋体" w:cs="宋体"/>
          <w:b/>
          <w:color w:val="auto"/>
          <w:highlight w:val="none"/>
        </w:rPr>
        <w:t>。</w:t>
      </w:r>
    </w:p>
    <w:p w14:paraId="60B685EC">
      <w:pPr>
        <w:widowControl/>
        <w:spacing w:line="360" w:lineRule="auto"/>
        <w:ind w:firstLine="422"/>
        <w:jc w:val="left"/>
        <w:rPr>
          <w:rFonts w:hint="eastAsia" w:ascii="宋体" w:hAnsi="宋体" w:cs="宋体"/>
          <w:b/>
          <w:color w:val="auto"/>
          <w:highlight w:val="none"/>
        </w:rPr>
      </w:pPr>
      <w:r>
        <w:rPr>
          <w:rFonts w:hint="eastAsia" w:ascii="宋体" w:hAnsi="宋体" w:cs="宋体"/>
          <w:b/>
          <w:color w:val="auto"/>
          <w:highlight w:val="none"/>
        </w:rPr>
        <w:t>4.潜在供应商对采购文件项目需求部分的询问、质疑请向采购人提出，由采购人负责答复。</w:t>
      </w:r>
    </w:p>
    <w:p w14:paraId="02410019">
      <w:pPr>
        <w:spacing w:line="360" w:lineRule="auto"/>
        <w:ind w:firstLine="420"/>
        <w:rPr>
          <w:rFonts w:hint="eastAsia" w:ascii="宋体" w:hAnsi="宋体" w:cs="宋体"/>
          <w:bCs/>
          <w:color w:val="auto"/>
          <w:highlight w:val="none"/>
        </w:rPr>
      </w:pPr>
      <w:r>
        <w:rPr>
          <w:rFonts w:hint="eastAsia" w:ascii="宋体" w:hAnsi="宋体" w:cs="宋体"/>
          <w:bCs/>
          <w:color w:val="auto"/>
          <w:szCs w:val="21"/>
          <w:highlight w:val="none"/>
        </w:rPr>
        <w:t>5.</w:t>
      </w:r>
      <w:r>
        <w:rPr>
          <w:rFonts w:hint="eastAsia" w:ascii="宋体" w:hAnsi="宋体" w:cs="宋体"/>
          <w:color w:val="auto"/>
          <w:highlight w:val="none"/>
        </w:rPr>
        <w:t>本次采购不收取磋商保证金。</w:t>
      </w:r>
    </w:p>
    <w:p w14:paraId="170A8EC2">
      <w:pPr>
        <w:spacing w:line="360" w:lineRule="auto"/>
        <w:ind w:firstLine="420"/>
        <w:rPr>
          <w:rFonts w:hint="eastAsia" w:ascii="宋体" w:hAnsi="宋体" w:cs="宋体"/>
          <w:bCs/>
          <w:color w:val="auto"/>
          <w:highlight w:val="none"/>
        </w:rPr>
      </w:pPr>
      <w:r>
        <w:rPr>
          <w:rFonts w:hint="eastAsia" w:ascii="宋体" w:hAnsi="宋体" w:cs="宋体"/>
          <w:color w:val="auto"/>
          <w:szCs w:val="21"/>
          <w:highlight w:val="none"/>
        </w:rPr>
        <w:t>6.</w:t>
      </w:r>
      <w:r>
        <w:rPr>
          <w:rFonts w:hint="eastAsia" w:ascii="宋体" w:hAnsi="宋体" w:cs="宋体"/>
          <w:bCs/>
          <w:color w:val="auto"/>
          <w:highlight w:val="none"/>
        </w:rPr>
        <w:t>有关本次采购的事项若存在变动或修改，敬请及时关注“扬州市政府采购网”、“江苏政府采购网”发布的信息。</w:t>
      </w:r>
    </w:p>
    <w:p w14:paraId="169E6968">
      <w:pPr>
        <w:tabs>
          <w:tab w:val="left" w:pos="266"/>
        </w:tabs>
        <w:spacing w:line="360" w:lineRule="auto"/>
        <w:ind w:firstLine="420"/>
        <w:rPr>
          <w:rFonts w:hint="eastAsia" w:ascii="宋体" w:hAnsi="宋体" w:cs="宋体"/>
          <w:bCs/>
          <w:color w:val="auto"/>
          <w:highlight w:val="none"/>
        </w:rPr>
      </w:pP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.如在开标时间发生系统崩</w:t>
      </w:r>
      <w:r>
        <w:rPr>
          <w:rFonts w:hint="eastAsia" w:ascii="宋体" w:hAnsi="宋体" w:cs="宋体"/>
          <w:bCs/>
          <w:color w:val="auto"/>
          <w:highlight w:val="none"/>
        </w:rPr>
        <w:t>溃等不可预见的情况，造成开评标活动无法正常进行的，将延迟开评标，具体开评标时间另行通知。</w:t>
      </w:r>
    </w:p>
    <w:p w14:paraId="0D6AD5F5">
      <w:pPr>
        <w:tabs>
          <w:tab w:val="left" w:pos="266"/>
        </w:tabs>
        <w:spacing w:line="360" w:lineRule="auto"/>
        <w:ind w:firstLine="420"/>
        <w:rPr>
          <w:rFonts w:hint="eastAsia" w:ascii="宋体" w:hAnsi="宋体" w:cs="宋体"/>
          <w:bCs/>
          <w:color w:val="auto"/>
          <w:highlight w:val="none"/>
        </w:rPr>
      </w:pPr>
      <w:r>
        <w:rPr>
          <w:rFonts w:hint="eastAsia" w:ascii="宋体" w:hAnsi="宋体" w:cs="宋体"/>
          <w:bCs/>
          <w:color w:val="auto"/>
          <w:highlight w:val="none"/>
          <w:lang w:val="en-US" w:eastAsia="zh-CN"/>
        </w:rPr>
        <w:t>8</w:t>
      </w:r>
      <w:r>
        <w:rPr>
          <w:rFonts w:hint="eastAsia" w:ascii="宋体" w:hAnsi="宋体" w:cs="宋体"/>
          <w:bCs/>
          <w:color w:val="auto"/>
          <w:highlight w:val="none"/>
        </w:rPr>
        <w:t>.为落实好政府采购履约资金扶持政策，中标/成交供应商可凭政府采购合同办理融资贷款，详见江苏政府采购网“政采贷”专栏。</w:t>
      </w:r>
    </w:p>
    <w:p w14:paraId="3E0522F9">
      <w:pPr>
        <w:tabs>
          <w:tab w:val="left" w:pos="266"/>
        </w:tabs>
        <w:spacing w:line="360" w:lineRule="auto"/>
        <w:ind w:firstLine="420"/>
        <w:rPr>
          <w:rFonts w:hint="eastAsia" w:ascii="宋体" w:hAnsi="宋体" w:cs="宋体"/>
          <w:bCs/>
          <w:color w:val="auto"/>
          <w:highlight w:val="none"/>
        </w:rPr>
      </w:pPr>
      <w:r>
        <w:rPr>
          <w:rFonts w:hint="eastAsia" w:ascii="宋体" w:hAnsi="宋体" w:cs="宋体"/>
          <w:bCs/>
          <w:color w:val="auto"/>
          <w:highlight w:val="none"/>
          <w:lang w:val="en-US" w:eastAsia="zh-CN"/>
        </w:rPr>
        <w:t>9</w:t>
      </w:r>
      <w:r>
        <w:rPr>
          <w:rFonts w:hint="eastAsia" w:ascii="宋体" w:hAnsi="宋体" w:cs="宋体"/>
          <w:bCs/>
          <w:color w:val="auto"/>
          <w:highlight w:val="none"/>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本项目优先采购节能产品、环境标志产品。</w:t>
      </w:r>
    </w:p>
    <w:p w14:paraId="1C15B4B7">
      <w:pPr>
        <w:tabs>
          <w:tab w:val="left" w:pos="266"/>
        </w:tabs>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0</w:t>
      </w:r>
      <w:r>
        <w:rPr>
          <w:rFonts w:hint="eastAsia" w:ascii="宋体" w:hAnsi="宋体" w:cs="宋体"/>
          <w:bCs/>
          <w:color w:val="auto"/>
          <w:highlight w:val="none"/>
        </w:rPr>
        <w:t>.供应商对于所投产品的包装应按照“财办库〔2020〕123号《关于印发《商品包装政府采购需求标准（试行）》、《快递包装政府采购需求标准（试行）》的通知》”执行。</w:t>
      </w:r>
    </w:p>
    <w:p w14:paraId="466BF3D1">
      <w:pPr>
        <w:pStyle w:val="237"/>
        <w:spacing w:before="0" w:after="0" w:line="360" w:lineRule="auto"/>
        <w:ind w:firstLine="422"/>
        <w:jc w:val="left"/>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八、本次竞争性磋商联系方式</w:t>
      </w:r>
      <w:bookmarkEnd w:id="0"/>
      <w:bookmarkEnd w:id="11"/>
    </w:p>
    <w:p w14:paraId="6286A29B">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1.采购人信息</w:t>
      </w:r>
    </w:p>
    <w:p w14:paraId="6EA19A7B">
      <w:pPr>
        <w:spacing w:line="360" w:lineRule="auto"/>
        <w:ind w:firstLine="420"/>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名称：</w:t>
      </w:r>
      <w:r>
        <w:rPr>
          <w:rFonts w:hint="eastAsia" w:hAnsi="宋体" w:cs="宋体"/>
          <w:color w:val="auto"/>
          <w:sz w:val="21"/>
          <w:szCs w:val="21"/>
          <w:highlight w:val="none"/>
          <w:lang w:val="en-US" w:eastAsia="zh-CN"/>
        </w:rPr>
        <w:t>仪征市中医院</w:t>
      </w:r>
    </w:p>
    <w:p w14:paraId="3DA3F7A4">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地址：仪征市沿山河东路899号</w:t>
      </w:r>
    </w:p>
    <w:p w14:paraId="752576DD">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联系人：王鹏洲</w:t>
      </w:r>
    </w:p>
    <w:p w14:paraId="4D030AAE">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联系方式： 0514-80856318</w:t>
      </w:r>
    </w:p>
    <w:p w14:paraId="77F9E637">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2.采购代理机构信息</w:t>
      </w:r>
    </w:p>
    <w:p w14:paraId="71A033A5">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 xml:space="preserve">名称：江苏弘业国际技术工程有限公司 </w:t>
      </w:r>
    </w:p>
    <w:p w14:paraId="4AABDA39">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地址：南京市中华路50号弘业大厦</w:t>
      </w:r>
    </w:p>
    <w:p w14:paraId="2D9AFEA0">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联系方式：025-52278371</w:t>
      </w:r>
    </w:p>
    <w:p w14:paraId="7EDC6D58">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传  真：025-52278761</w:t>
      </w:r>
    </w:p>
    <w:p w14:paraId="74150485">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邮箱：hollyzbzy@artall.com</w:t>
      </w:r>
    </w:p>
    <w:p w14:paraId="7A0C0646">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项目联系方式</w:t>
      </w:r>
    </w:p>
    <w:p w14:paraId="4DF802D2">
      <w:pPr>
        <w:spacing w:line="360" w:lineRule="auto"/>
        <w:ind w:firstLine="420"/>
        <w:jc w:val="left"/>
        <w:rPr>
          <w:rFonts w:hint="eastAsia" w:hAnsi="宋体" w:cs="宋体"/>
          <w:color w:val="auto"/>
          <w:sz w:val="21"/>
          <w:szCs w:val="21"/>
          <w:highlight w:val="none"/>
        </w:rPr>
      </w:pPr>
      <w:r>
        <w:rPr>
          <w:rFonts w:hint="eastAsia" w:hAnsi="宋体" w:cs="宋体"/>
          <w:color w:val="auto"/>
          <w:sz w:val="21"/>
          <w:szCs w:val="21"/>
          <w:highlight w:val="none"/>
        </w:rPr>
        <w:t>项目联系人：宋瞰尘</w:t>
      </w:r>
    </w:p>
    <w:p w14:paraId="50308ECB">
      <w:pPr>
        <w:spacing w:line="360" w:lineRule="auto"/>
        <w:ind w:firstLine="420"/>
        <w:jc w:val="left"/>
        <w:rPr>
          <w:rFonts w:hint="eastAsia" w:ascii="宋体" w:hAnsi="宋体"/>
          <w:color w:val="auto"/>
          <w:szCs w:val="21"/>
          <w:highlight w:val="none"/>
        </w:rPr>
      </w:pPr>
      <w:r>
        <w:rPr>
          <w:rFonts w:hint="eastAsia" w:hAnsi="宋体" w:cs="宋体"/>
          <w:color w:val="auto"/>
          <w:sz w:val="21"/>
          <w:szCs w:val="21"/>
          <w:highlight w:val="none"/>
        </w:rPr>
        <w:t>电话：025-52278371</w:t>
      </w:r>
    </w:p>
    <w:p w14:paraId="40010514">
      <w:pPr>
        <w:spacing w:line="360" w:lineRule="auto"/>
        <w:ind w:firstLine="420"/>
        <w:rPr>
          <w:rFonts w:hint="eastAsia" w:ascii="宋体" w:hAnsi="宋体"/>
          <w:color w:val="auto"/>
          <w:highlight w:val="none"/>
        </w:rPr>
      </w:pPr>
      <w:bookmarkStart w:id="12" w:name="_Toc109304972"/>
      <w:r>
        <w:rPr>
          <w:rFonts w:hint="eastAsia" w:ascii="宋体" w:hAnsi="宋体"/>
          <w:color w:val="auto"/>
          <w:highlight w:val="none"/>
        </w:rPr>
        <w:br w:type="page" w:clear="all"/>
      </w:r>
    </w:p>
    <w:p w14:paraId="4D83F742">
      <w:pPr>
        <w:pStyle w:val="3"/>
        <w:spacing w:before="0" w:after="0"/>
        <w:ind w:firstLine="883"/>
        <w:jc w:val="center"/>
        <w:rPr>
          <w:color w:val="auto"/>
          <w:highlight w:val="none"/>
        </w:rPr>
      </w:pPr>
      <w:r>
        <w:rPr>
          <w:rFonts w:hint="eastAsia"/>
          <w:color w:val="auto"/>
          <w:highlight w:val="none"/>
        </w:rPr>
        <w:t>第二章 磋商须知</w:t>
      </w:r>
      <w:bookmarkEnd w:id="12"/>
    </w:p>
    <w:p w14:paraId="1C51E1FA">
      <w:pPr>
        <w:spacing w:line="360" w:lineRule="auto"/>
        <w:ind w:firstLine="420"/>
        <w:rPr>
          <w:color w:val="auto"/>
          <w:highlight w:val="none"/>
        </w:rPr>
      </w:pPr>
      <w:r>
        <w:rPr>
          <w:rFonts w:hint="eastAsia"/>
          <w:color w:val="auto"/>
          <w:highlight w:val="none"/>
        </w:rPr>
        <w:t>1、采购方式</w:t>
      </w:r>
    </w:p>
    <w:p w14:paraId="0B31A7C6">
      <w:pPr>
        <w:spacing w:line="360" w:lineRule="auto"/>
        <w:ind w:firstLine="420"/>
        <w:jc w:val="left"/>
        <w:rPr>
          <w:color w:val="auto"/>
          <w:highlight w:val="none"/>
        </w:rPr>
      </w:pPr>
      <w:r>
        <w:rPr>
          <w:rFonts w:hint="eastAsia"/>
          <w:color w:val="auto"/>
          <w:highlight w:val="none"/>
        </w:rPr>
        <w:t>1.1 本次采购采取竞争性磋商方式，本采购文</w:t>
      </w:r>
      <w:r>
        <w:rPr>
          <w:rFonts w:hint="eastAsia" w:ascii="宋体" w:hAnsi="宋体" w:cs="宋体"/>
          <w:color w:val="auto"/>
          <w:highlight w:val="none"/>
        </w:rPr>
        <w:t>件仅适用</w:t>
      </w:r>
      <w:r>
        <w:rPr>
          <w:rFonts w:hint="eastAsia" w:ascii="宋体" w:hAnsi="宋体" w:cs="宋体"/>
          <w:color w:val="auto"/>
          <w:highlight w:val="none"/>
          <w:shd w:val="clear" w:color="auto" w:fill="FFFF00"/>
          <w:lang w:eastAsia="zh-CN"/>
        </w:rPr>
        <w:t>JSZC-321000-JSHY-C2024-0452</w:t>
      </w:r>
      <w:r>
        <w:rPr>
          <w:rFonts w:hint="eastAsia" w:ascii="宋体" w:hAnsi="宋体" w:cs="宋体"/>
          <w:color w:val="auto"/>
          <w:highlight w:val="none"/>
          <w:lang w:eastAsia="zh-CN"/>
        </w:rPr>
        <w:t>号</w:t>
      </w:r>
      <w:r>
        <w:rPr>
          <w:rFonts w:hint="eastAsia"/>
          <w:color w:val="auto"/>
          <w:highlight w:val="none"/>
        </w:rPr>
        <w:t>项目。</w:t>
      </w:r>
    </w:p>
    <w:p w14:paraId="388CB910">
      <w:pPr>
        <w:spacing w:line="360" w:lineRule="auto"/>
        <w:ind w:firstLine="420"/>
        <w:rPr>
          <w:color w:val="auto"/>
          <w:highlight w:val="none"/>
        </w:rPr>
      </w:pPr>
      <w:r>
        <w:rPr>
          <w:rFonts w:hint="eastAsia"/>
          <w:color w:val="auto"/>
          <w:highlight w:val="none"/>
        </w:rPr>
        <w:t>2、供应商</w:t>
      </w:r>
    </w:p>
    <w:p w14:paraId="04FD31FE">
      <w:pPr>
        <w:spacing w:line="360" w:lineRule="auto"/>
        <w:ind w:firstLine="420"/>
        <w:rPr>
          <w:color w:val="auto"/>
          <w:highlight w:val="none"/>
        </w:rPr>
      </w:pPr>
      <w:r>
        <w:rPr>
          <w:rFonts w:hint="eastAsia"/>
          <w:color w:val="auto"/>
          <w:highlight w:val="none"/>
        </w:rPr>
        <w:t>2.1 参加竞争性磋商的供应商以下简称“供应商”，是指参加磋商并符合采购文件规定资格条件的法人、其他组织或者自然人。</w:t>
      </w:r>
    </w:p>
    <w:p w14:paraId="7FB29912">
      <w:pPr>
        <w:spacing w:line="360" w:lineRule="auto"/>
        <w:ind w:firstLine="420"/>
        <w:rPr>
          <w:color w:val="auto"/>
          <w:highlight w:val="none"/>
        </w:rPr>
      </w:pPr>
      <w:r>
        <w:rPr>
          <w:rFonts w:hint="eastAsia"/>
          <w:color w:val="auto"/>
          <w:highlight w:val="none"/>
        </w:rPr>
        <w:t>2.2合格的供应商</w:t>
      </w:r>
    </w:p>
    <w:p w14:paraId="042E03A0">
      <w:pPr>
        <w:spacing w:line="360" w:lineRule="auto"/>
        <w:ind w:firstLine="420"/>
        <w:rPr>
          <w:color w:val="auto"/>
          <w:highlight w:val="none"/>
        </w:rPr>
      </w:pPr>
      <w:r>
        <w:rPr>
          <w:rFonts w:hint="eastAsia"/>
          <w:color w:val="auto"/>
          <w:highlight w:val="none"/>
        </w:rPr>
        <w:t>2.2.1 满足采购公告中供应商的资格条件要求的规定。</w:t>
      </w:r>
    </w:p>
    <w:p w14:paraId="1F4F9E01">
      <w:pPr>
        <w:spacing w:line="360" w:lineRule="auto"/>
        <w:ind w:firstLine="420"/>
        <w:rPr>
          <w:color w:val="auto"/>
          <w:highlight w:val="none"/>
        </w:rPr>
      </w:pPr>
      <w:r>
        <w:rPr>
          <w:rFonts w:hint="eastAsia"/>
          <w:color w:val="auto"/>
          <w:highlight w:val="none"/>
        </w:rPr>
        <w:t>2.2.2 满足本文件实质性条款的规定。</w:t>
      </w:r>
    </w:p>
    <w:p w14:paraId="7D1CD75D">
      <w:pPr>
        <w:spacing w:line="360" w:lineRule="auto"/>
        <w:ind w:firstLine="420"/>
        <w:rPr>
          <w:color w:val="auto"/>
          <w:highlight w:val="none"/>
        </w:rPr>
      </w:pPr>
      <w:r>
        <w:rPr>
          <w:rFonts w:hint="eastAsia"/>
          <w:color w:val="auto"/>
          <w:highlight w:val="none"/>
        </w:rPr>
        <w:t>3、适用法律</w:t>
      </w:r>
    </w:p>
    <w:p w14:paraId="2029B328">
      <w:pPr>
        <w:spacing w:line="360" w:lineRule="auto"/>
        <w:ind w:firstLine="420"/>
        <w:rPr>
          <w:color w:val="auto"/>
          <w:highlight w:val="none"/>
        </w:rPr>
      </w:pPr>
      <w:r>
        <w:rPr>
          <w:rFonts w:hint="eastAsia"/>
          <w:color w:val="auto"/>
          <w:highlight w:val="none"/>
        </w:rPr>
        <w:t>3.1 本次采购及由此产生的合同受中华人民共和国有关的法律法规制约和保护。</w:t>
      </w:r>
    </w:p>
    <w:p w14:paraId="18F7ED72">
      <w:pPr>
        <w:spacing w:line="360" w:lineRule="auto"/>
        <w:ind w:firstLine="420"/>
        <w:rPr>
          <w:color w:val="auto"/>
          <w:highlight w:val="none"/>
        </w:rPr>
      </w:pPr>
      <w:r>
        <w:rPr>
          <w:rFonts w:hint="eastAsia"/>
          <w:color w:val="auto"/>
          <w:highlight w:val="none"/>
        </w:rPr>
        <w:t>4、参加磋商费用</w:t>
      </w:r>
    </w:p>
    <w:p w14:paraId="5206A53D">
      <w:pPr>
        <w:spacing w:line="360" w:lineRule="auto"/>
        <w:ind w:firstLine="420"/>
        <w:rPr>
          <w:color w:val="auto"/>
          <w:highlight w:val="none"/>
        </w:rPr>
      </w:pPr>
      <w:r>
        <w:rPr>
          <w:rFonts w:hint="eastAsia"/>
          <w:color w:val="auto"/>
          <w:highlight w:val="none"/>
        </w:rPr>
        <w:t>4.1 供应商应自行承担所有与参加磋商有关的费用，无论磋商过程中的做法和结果如何，</w:t>
      </w:r>
      <w:r>
        <w:rPr>
          <w:rFonts w:hint="eastAsia"/>
          <w:color w:val="auto"/>
          <w:highlight w:val="none"/>
          <w:lang w:eastAsia="zh-CN"/>
        </w:rPr>
        <w:t>江苏弘业国际技术工程有限公司</w:t>
      </w:r>
      <w:r>
        <w:rPr>
          <w:rFonts w:hint="eastAsia"/>
          <w:color w:val="auto"/>
          <w:highlight w:val="none"/>
        </w:rPr>
        <w:t>(以下简称代理机构)在任何情况下均无义务和责任承担这些费用。</w:t>
      </w:r>
    </w:p>
    <w:p w14:paraId="3C1BAE79">
      <w:pPr>
        <w:spacing w:line="360" w:lineRule="auto"/>
        <w:ind w:firstLine="42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4.2本项目中标服务费参照发改价格[2011]534号文的40％收取，应在领取中标通知书前缴纳。</w:t>
      </w:r>
    </w:p>
    <w:p w14:paraId="3B20E343">
      <w:pPr>
        <w:spacing w:line="360" w:lineRule="auto"/>
        <w:ind w:firstLine="840" w:firstLineChars="4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rPr>
        <w:t>账户信息：</w:t>
      </w:r>
    </w:p>
    <w:p w14:paraId="23592418">
      <w:pPr>
        <w:spacing w:line="360" w:lineRule="auto"/>
        <w:ind w:firstLine="42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rPr>
        <w:tab/>
      </w:r>
      <w:r>
        <w:rPr>
          <w:rFonts w:hint="eastAsia" w:ascii="Times New Roman" w:hAnsi="Times New Roman" w:eastAsia="宋体" w:cs="Times New Roman"/>
          <w:color w:val="auto"/>
          <w:highlight w:val="none"/>
          <w:lang w:val="en-US"/>
        </w:rPr>
        <w:t>户    名：江苏弘业国际技术工程有限公司</w:t>
      </w:r>
    </w:p>
    <w:p w14:paraId="547DAEA7">
      <w:pPr>
        <w:spacing w:line="360" w:lineRule="auto"/>
        <w:ind w:firstLine="42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rPr>
        <w:tab/>
      </w:r>
      <w:r>
        <w:rPr>
          <w:rFonts w:hint="eastAsia" w:ascii="Times New Roman" w:hAnsi="Times New Roman" w:eastAsia="宋体" w:cs="Times New Roman"/>
          <w:color w:val="auto"/>
          <w:highlight w:val="none"/>
          <w:lang w:val="en-US"/>
        </w:rPr>
        <w:t xml:space="preserve">开户银行：中国银行南京市中华路支行   </w:t>
      </w:r>
    </w:p>
    <w:p w14:paraId="17BBC9C1">
      <w:pPr>
        <w:spacing w:line="360" w:lineRule="auto"/>
        <w:ind w:firstLine="42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rPr>
        <w:tab/>
      </w:r>
      <w:r>
        <w:rPr>
          <w:rFonts w:hint="eastAsia" w:ascii="Times New Roman" w:hAnsi="Times New Roman" w:eastAsia="宋体" w:cs="Times New Roman"/>
          <w:color w:val="auto"/>
          <w:highlight w:val="none"/>
          <w:lang w:val="en-US"/>
        </w:rPr>
        <w:t>账    号：527460884999</w:t>
      </w:r>
    </w:p>
    <w:p w14:paraId="68B9380C">
      <w:pPr>
        <w:spacing w:line="360" w:lineRule="auto"/>
        <w:ind w:firstLine="420"/>
        <w:rPr>
          <w:rFonts w:cs="宋体"/>
          <w:color w:val="auto"/>
          <w:szCs w:val="21"/>
          <w:highlight w:val="none"/>
        </w:rPr>
      </w:pPr>
      <w:r>
        <w:rPr>
          <w:rFonts w:hint="eastAsia" w:cs="宋体"/>
          <w:color w:val="auto"/>
          <w:szCs w:val="21"/>
          <w:highlight w:val="none"/>
        </w:rPr>
        <w:t>（1）代理服务费以人民币支付；</w:t>
      </w:r>
    </w:p>
    <w:p w14:paraId="75BC4F42">
      <w:pPr>
        <w:spacing w:line="360" w:lineRule="auto"/>
        <w:ind w:firstLine="420"/>
        <w:rPr>
          <w:rFonts w:cs="宋体"/>
          <w:color w:val="auto"/>
          <w:szCs w:val="21"/>
          <w:highlight w:val="none"/>
        </w:rPr>
      </w:pPr>
      <w:r>
        <w:rPr>
          <w:rFonts w:hint="eastAsia" w:cs="宋体"/>
          <w:color w:val="auto"/>
          <w:szCs w:val="21"/>
          <w:highlight w:val="none"/>
        </w:rPr>
        <w:t>（2）代理服务费支付方式：一次性以电汇或转账形式支付。</w:t>
      </w:r>
    </w:p>
    <w:p w14:paraId="1EC9DDE7">
      <w:pPr>
        <w:spacing w:line="360" w:lineRule="auto"/>
        <w:ind w:firstLine="420"/>
        <w:rPr>
          <w:rFonts w:cs="宋体"/>
          <w:color w:val="auto"/>
          <w:szCs w:val="21"/>
          <w:highlight w:val="none"/>
        </w:rPr>
      </w:pPr>
      <w:r>
        <w:rPr>
          <w:rFonts w:hint="eastAsia" w:cs="宋体"/>
          <w:color w:val="auto"/>
          <w:szCs w:val="21"/>
          <w:highlight w:val="none"/>
        </w:rPr>
        <w:t>（3）招标代理服务费不在响应报价中单列，包含在响应总价中，由成交人支付给代理机构。</w:t>
      </w:r>
    </w:p>
    <w:p w14:paraId="1ECC999F">
      <w:pPr>
        <w:spacing w:line="360" w:lineRule="auto"/>
        <w:ind w:firstLine="420"/>
        <w:rPr>
          <w:color w:val="auto"/>
          <w:highlight w:val="none"/>
        </w:rPr>
      </w:pPr>
      <w:r>
        <w:rPr>
          <w:rFonts w:hint="eastAsia"/>
          <w:color w:val="auto"/>
          <w:highlight w:val="none"/>
        </w:rPr>
        <w:t>5、采购文件的约束力</w:t>
      </w:r>
    </w:p>
    <w:p w14:paraId="0B25AAFE">
      <w:pPr>
        <w:spacing w:line="360" w:lineRule="auto"/>
        <w:ind w:firstLine="420"/>
        <w:rPr>
          <w:color w:val="auto"/>
          <w:highlight w:val="none"/>
        </w:rPr>
      </w:pPr>
      <w:r>
        <w:rPr>
          <w:rFonts w:hint="eastAsia"/>
          <w:color w:val="auto"/>
          <w:highlight w:val="none"/>
        </w:rPr>
        <w:t>5.1 供应商一旦参加本项目采购活动，即被认为接受了本采购文件的规定和约束。</w:t>
      </w:r>
    </w:p>
    <w:p w14:paraId="7511384A">
      <w:pPr>
        <w:spacing w:line="360" w:lineRule="auto"/>
        <w:ind w:firstLine="420"/>
        <w:rPr>
          <w:color w:val="auto"/>
          <w:highlight w:val="none"/>
        </w:rPr>
      </w:pPr>
      <w:r>
        <w:rPr>
          <w:rFonts w:hint="eastAsia"/>
          <w:color w:val="auto"/>
          <w:highlight w:val="none"/>
        </w:rPr>
        <w:t>6、采购文件构成</w:t>
      </w:r>
    </w:p>
    <w:p w14:paraId="6790EDEE">
      <w:pPr>
        <w:spacing w:line="360" w:lineRule="auto"/>
        <w:ind w:firstLine="420"/>
        <w:rPr>
          <w:color w:val="auto"/>
          <w:highlight w:val="none"/>
        </w:rPr>
      </w:pPr>
      <w:r>
        <w:rPr>
          <w:rFonts w:hint="eastAsia"/>
          <w:color w:val="auto"/>
          <w:highlight w:val="none"/>
        </w:rPr>
        <w:t>6.1 采购文件有以下部分组成：</w:t>
      </w:r>
    </w:p>
    <w:p w14:paraId="403AEEFD">
      <w:pPr>
        <w:spacing w:line="360" w:lineRule="auto"/>
        <w:ind w:firstLine="420"/>
        <w:rPr>
          <w:color w:val="auto"/>
          <w:highlight w:val="none"/>
        </w:rPr>
      </w:pPr>
      <w:r>
        <w:rPr>
          <w:rFonts w:hint="eastAsia"/>
          <w:color w:val="auto"/>
          <w:highlight w:val="none"/>
        </w:rPr>
        <w:t>（1）采购公告</w:t>
      </w:r>
    </w:p>
    <w:p w14:paraId="08EFE86B">
      <w:pPr>
        <w:spacing w:line="360" w:lineRule="auto"/>
        <w:ind w:firstLine="420"/>
        <w:rPr>
          <w:color w:val="auto"/>
          <w:highlight w:val="none"/>
        </w:rPr>
      </w:pPr>
      <w:r>
        <w:rPr>
          <w:rFonts w:hint="eastAsia"/>
          <w:color w:val="auto"/>
          <w:highlight w:val="none"/>
        </w:rPr>
        <w:t>（2）磋商须知</w:t>
      </w:r>
      <w:r>
        <w:rPr>
          <w:rFonts w:hint="eastAsia"/>
          <w:color w:val="auto"/>
          <w:highlight w:val="none"/>
        </w:rPr>
        <w:tab/>
      </w:r>
    </w:p>
    <w:p w14:paraId="4EE5F26C">
      <w:pPr>
        <w:spacing w:line="360" w:lineRule="auto"/>
        <w:ind w:firstLine="420"/>
        <w:rPr>
          <w:color w:val="auto"/>
          <w:highlight w:val="none"/>
        </w:rPr>
      </w:pPr>
      <w:r>
        <w:rPr>
          <w:rFonts w:hint="eastAsia"/>
          <w:color w:val="auto"/>
          <w:highlight w:val="none"/>
        </w:rPr>
        <w:t>（3）合同条款及格式</w:t>
      </w:r>
    </w:p>
    <w:p w14:paraId="1A739A0C">
      <w:pPr>
        <w:spacing w:line="360" w:lineRule="auto"/>
        <w:ind w:firstLine="420"/>
        <w:rPr>
          <w:color w:val="auto"/>
          <w:highlight w:val="none"/>
        </w:rPr>
      </w:pPr>
      <w:r>
        <w:rPr>
          <w:rFonts w:hint="eastAsia"/>
          <w:color w:val="auto"/>
          <w:highlight w:val="none"/>
        </w:rPr>
        <w:t>（4）项目需求</w:t>
      </w:r>
    </w:p>
    <w:p w14:paraId="528048A5">
      <w:pPr>
        <w:spacing w:line="360" w:lineRule="auto"/>
        <w:ind w:firstLine="420"/>
        <w:rPr>
          <w:color w:val="auto"/>
          <w:highlight w:val="none"/>
        </w:rPr>
      </w:pPr>
      <w:r>
        <w:rPr>
          <w:rFonts w:hint="eastAsia"/>
          <w:color w:val="auto"/>
          <w:highlight w:val="none"/>
        </w:rPr>
        <w:t>（5）评审方法与评审标准</w:t>
      </w:r>
    </w:p>
    <w:p w14:paraId="05A5BEA1">
      <w:pPr>
        <w:spacing w:line="360" w:lineRule="auto"/>
        <w:ind w:firstLine="420"/>
        <w:rPr>
          <w:color w:val="auto"/>
          <w:highlight w:val="none"/>
        </w:rPr>
      </w:pPr>
      <w:r>
        <w:rPr>
          <w:rFonts w:hint="eastAsia"/>
          <w:color w:val="auto"/>
          <w:highlight w:val="none"/>
        </w:rPr>
        <w:t>（6）竞争性磋商响应文件格式</w:t>
      </w:r>
    </w:p>
    <w:p w14:paraId="10F744A7">
      <w:pPr>
        <w:spacing w:line="360" w:lineRule="auto"/>
        <w:ind w:firstLine="420"/>
        <w:rPr>
          <w:color w:val="auto"/>
          <w:highlight w:val="none"/>
        </w:rPr>
      </w:pPr>
      <w:r>
        <w:rPr>
          <w:rFonts w:hint="eastAsia"/>
          <w:color w:val="auto"/>
          <w:highlight w:val="none"/>
        </w:rPr>
        <w:t>请仔细检查采购文件是否齐全，如有缺漏请立即与代理机构联系解决。</w:t>
      </w:r>
    </w:p>
    <w:p w14:paraId="15558CD1">
      <w:pPr>
        <w:spacing w:line="360" w:lineRule="auto"/>
        <w:ind w:firstLine="420"/>
        <w:rPr>
          <w:color w:val="auto"/>
          <w:highlight w:val="none"/>
        </w:rPr>
      </w:pPr>
      <w:r>
        <w:rPr>
          <w:rFonts w:hint="eastAsia"/>
          <w:color w:val="auto"/>
          <w:highlight w:val="none"/>
        </w:rPr>
        <w:t>6.2 采购的最小单位是包。采购服务（工程）数量及技术要求中未分包的，供应商对要求提供的服务（工程）不得部分响应；采购服务（工程）数量及技术要求中已经分包的，应当以包为单位响应。</w:t>
      </w:r>
    </w:p>
    <w:p w14:paraId="6D3994DE">
      <w:pPr>
        <w:spacing w:line="360" w:lineRule="auto"/>
        <w:ind w:firstLine="420"/>
        <w:rPr>
          <w:color w:val="auto"/>
          <w:highlight w:val="none"/>
        </w:rPr>
      </w:pPr>
      <w:r>
        <w:rPr>
          <w:rFonts w:hint="eastAsia"/>
          <w:color w:val="auto"/>
          <w:highlight w:val="none"/>
        </w:rPr>
        <w:t>6.3 采购文件如果要求供应商提交备选响应方案的，供应商可以提交备选方案；否则，备选方案将被拒绝。</w:t>
      </w:r>
    </w:p>
    <w:p w14:paraId="54A0EA51">
      <w:pPr>
        <w:spacing w:line="360" w:lineRule="auto"/>
        <w:ind w:firstLine="420"/>
        <w:rPr>
          <w:color w:val="auto"/>
          <w:highlight w:val="none"/>
        </w:rPr>
      </w:pPr>
      <w:r>
        <w:rPr>
          <w:rFonts w:hint="eastAsia"/>
          <w:color w:val="auto"/>
          <w:highlight w:val="none"/>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7AD288D2">
      <w:pPr>
        <w:spacing w:line="360" w:lineRule="auto"/>
        <w:ind w:firstLine="420"/>
        <w:rPr>
          <w:b/>
          <w:bCs/>
          <w:color w:val="auto"/>
          <w:highlight w:val="none"/>
        </w:rPr>
      </w:pPr>
      <w:r>
        <w:rPr>
          <w:rFonts w:hint="eastAsia"/>
          <w:color w:val="auto"/>
          <w:highlight w:val="none"/>
        </w:rPr>
        <w:t>7</w:t>
      </w:r>
      <w:r>
        <w:rPr>
          <w:rFonts w:hint="eastAsia"/>
          <w:b/>
          <w:bCs/>
          <w:color w:val="auto"/>
          <w:highlight w:val="none"/>
        </w:rPr>
        <w:t>、</w:t>
      </w:r>
      <w:r>
        <w:rPr>
          <w:rFonts w:hint="eastAsia"/>
          <w:color w:val="auto"/>
          <w:highlight w:val="none"/>
        </w:rPr>
        <w:t>采购文件的澄清</w:t>
      </w:r>
    </w:p>
    <w:p w14:paraId="1C24C449">
      <w:pPr>
        <w:spacing w:line="360" w:lineRule="auto"/>
        <w:ind w:firstLine="420"/>
        <w:rPr>
          <w:color w:val="auto"/>
          <w:highlight w:val="none"/>
        </w:rPr>
      </w:pPr>
      <w:r>
        <w:rPr>
          <w:rFonts w:hint="eastAsia"/>
          <w:color w:val="auto"/>
          <w:highlight w:val="none"/>
        </w:rPr>
        <w:t>7.1 任何要求对采购文件进行澄清的供应商，应在提交首次响应文件截止时间至少5日前按采购公告中的通讯地址，以书面形式通知代理机构。</w:t>
      </w:r>
    </w:p>
    <w:p w14:paraId="473BF6B5">
      <w:pPr>
        <w:spacing w:line="360" w:lineRule="auto"/>
        <w:ind w:firstLine="420"/>
        <w:rPr>
          <w:b/>
          <w:bCs/>
          <w:color w:val="auto"/>
          <w:highlight w:val="none"/>
        </w:rPr>
      </w:pPr>
      <w:r>
        <w:rPr>
          <w:rFonts w:hint="eastAsia"/>
          <w:color w:val="auto"/>
          <w:highlight w:val="none"/>
        </w:rPr>
        <w:t>8</w:t>
      </w:r>
      <w:r>
        <w:rPr>
          <w:rFonts w:hint="eastAsia"/>
          <w:b/>
          <w:bCs/>
          <w:color w:val="auto"/>
          <w:highlight w:val="none"/>
        </w:rPr>
        <w:t>、</w:t>
      </w:r>
      <w:r>
        <w:rPr>
          <w:rFonts w:hint="eastAsia"/>
          <w:color w:val="auto"/>
          <w:highlight w:val="none"/>
        </w:rPr>
        <w:t>采购文件的修改</w:t>
      </w:r>
    </w:p>
    <w:p w14:paraId="0649A535">
      <w:pPr>
        <w:spacing w:line="360" w:lineRule="auto"/>
        <w:ind w:firstLine="420"/>
        <w:rPr>
          <w:color w:val="auto"/>
          <w:highlight w:val="none"/>
        </w:rPr>
      </w:pPr>
      <w:r>
        <w:rPr>
          <w:rFonts w:hint="eastAsia"/>
          <w:color w:val="auto"/>
          <w:highlight w:val="none"/>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48DEEFA2">
      <w:pPr>
        <w:spacing w:line="360" w:lineRule="auto"/>
        <w:ind w:firstLine="420"/>
        <w:rPr>
          <w:color w:val="auto"/>
          <w:highlight w:val="none"/>
        </w:rPr>
      </w:pPr>
      <w:r>
        <w:rPr>
          <w:rFonts w:hint="eastAsia"/>
          <w:color w:val="auto"/>
          <w:highlight w:val="none"/>
        </w:rPr>
        <w:t>8.2采购文件的修改将在“扬州市政府采购网”、“江苏政府采购网”公布，补充文件将作为采购文件的组成部分，并对供应商具有约束力。</w:t>
      </w:r>
    </w:p>
    <w:p w14:paraId="125C636E">
      <w:pPr>
        <w:spacing w:line="360" w:lineRule="auto"/>
        <w:ind w:firstLine="420"/>
        <w:rPr>
          <w:color w:val="auto"/>
          <w:highlight w:val="none"/>
        </w:rPr>
      </w:pPr>
      <w:r>
        <w:rPr>
          <w:rFonts w:hint="eastAsia"/>
          <w:color w:val="auto"/>
          <w:highlight w:val="none"/>
        </w:rPr>
        <w:t>9、采购文件的语言、度量衡单位、货币</w:t>
      </w:r>
    </w:p>
    <w:p w14:paraId="2CB1460E">
      <w:pPr>
        <w:spacing w:line="360" w:lineRule="auto"/>
        <w:ind w:firstLine="420"/>
        <w:rPr>
          <w:color w:val="auto"/>
          <w:highlight w:val="none"/>
        </w:rPr>
      </w:pPr>
      <w:r>
        <w:rPr>
          <w:rFonts w:hint="eastAsia"/>
          <w:color w:val="auto"/>
          <w:highlight w:val="none"/>
        </w:rPr>
        <w:t>9.1供应商提交的响应文件以及供应商与代理机构就有关磋商的所有来往通知、函件和文件均应使用简体中文。</w:t>
      </w:r>
    </w:p>
    <w:p w14:paraId="614811B6">
      <w:pPr>
        <w:spacing w:line="360" w:lineRule="auto"/>
        <w:ind w:firstLine="420"/>
        <w:rPr>
          <w:color w:val="auto"/>
          <w:highlight w:val="none"/>
        </w:rPr>
      </w:pPr>
      <w:r>
        <w:rPr>
          <w:rFonts w:hint="eastAsia"/>
          <w:color w:val="auto"/>
          <w:highlight w:val="none"/>
        </w:rPr>
        <w:t>9.2 除技术性能另有规定外，采购文件所使用的度量衡单位，均须采用国家法定计量单位。</w:t>
      </w:r>
    </w:p>
    <w:p w14:paraId="50060906">
      <w:pPr>
        <w:spacing w:line="360" w:lineRule="auto"/>
        <w:ind w:firstLine="420"/>
        <w:rPr>
          <w:color w:val="auto"/>
          <w:highlight w:val="none"/>
        </w:rPr>
      </w:pPr>
      <w:r>
        <w:rPr>
          <w:rFonts w:hint="eastAsia"/>
          <w:color w:val="auto"/>
          <w:highlight w:val="none"/>
        </w:rPr>
        <w:t>9.3采购文件中的服务（工程）单价和总价无特殊规定的采用人民币报价，以元为单位标注。采购文件中另有规定的按规定执行。</w:t>
      </w:r>
    </w:p>
    <w:p w14:paraId="38A377B6">
      <w:pPr>
        <w:spacing w:line="360" w:lineRule="auto"/>
        <w:ind w:firstLine="420"/>
        <w:rPr>
          <w:color w:val="auto"/>
          <w:highlight w:val="none"/>
        </w:rPr>
      </w:pPr>
      <w:r>
        <w:rPr>
          <w:rFonts w:hint="eastAsia"/>
          <w:color w:val="auto"/>
          <w:highlight w:val="none"/>
        </w:rPr>
        <w:t>10、响应文件构成</w:t>
      </w:r>
    </w:p>
    <w:p w14:paraId="37D91D02">
      <w:pPr>
        <w:spacing w:line="360" w:lineRule="auto"/>
        <w:ind w:firstLine="420"/>
        <w:rPr>
          <w:color w:val="auto"/>
          <w:highlight w:val="none"/>
        </w:rPr>
      </w:pPr>
      <w:r>
        <w:rPr>
          <w:rFonts w:hint="eastAsia"/>
          <w:color w:val="auto"/>
          <w:highlight w:val="none"/>
        </w:rPr>
        <w:t>1</w:t>
      </w:r>
      <w:r>
        <w:rPr>
          <w:color w:val="auto"/>
          <w:highlight w:val="none"/>
        </w:rPr>
        <w:t>0.1</w:t>
      </w:r>
      <w:r>
        <w:rPr>
          <w:rFonts w:hint="eastAsia"/>
          <w:color w:val="auto"/>
          <w:highlight w:val="none"/>
        </w:rPr>
        <w:t>磋商文件由以下部分组成</w:t>
      </w:r>
    </w:p>
    <w:p w14:paraId="065737CE">
      <w:pPr>
        <w:spacing w:line="360" w:lineRule="auto"/>
        <w:ind w:firstLine="420"/>
        <w:rPr>
          <w:color w:val="auto"/>
          <w:highlight w:val="none"/>
        </w:rPr>
      </w:pPr>
      <w:r>
        <w:rPr>
          <w:rFonts w:hint="eastAsia"/>
          <w:color w:val="auto"/>
          <w:highlight w:val="none"/>
        </w:rPr>
        <w:t>（1）资格审查响应对照表</w:t>
      </w:r>
    </w:p>
    <w:p w14:paraId="33B43F31">
      <w:pPr>
        <w:spacing w:line="360" w:lineRule="auto"/>
        <w:ind w:firstLine="420"/>
        <w:rPr>
          <w:color w:val="auto"/>
          <w:highlight w:val="none"/>
        </w:rPr>
      </w:pPr>
      <w:r>
        <w:rPr>
          <w:rFonts w:hint="eastAsia"/>
          <w:color w:val="auto"/>
          <w:highlight w:val="none"/>
        </w:rPr>
        <w:t>（2）符合性审查响应对照表</w:t>
      </w:r>
    </w:p>
    <w:p w14:paraId="0DC80EE3">
      <w:pPr>
        <w:spacing w:line="360" w:lineRule="auto"/>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）非实质性响应对照表</w:t>
      </w:r>
    </w:p>
    <w:p w14:paraId="13EE6E65">
      <w:pPr>
        <w:spacing w:line="360" w:lineRule="auto"/>
        <w:ind w:firstLine="420"/>
        <w:rPr>
          <w:color w:val="auto"/>
          <w:highlight w:val="none"/>
        </w:rPr>
      </w:pPr>
      <w:r>
        <w:rPr>
          <w:rFonts w:hint="eastAsia"/>
          <w:color w:val="auto"/>
          <w:highlight w:val="none"/>
        </w:rPr>
        <w:t xml:space="preserve">（4）磋商响应报价表 </w:t>
      </w:r>
    </w:p>
    <w:p w14:paraId="04BF3EF0">
      <w:pPr>
        <w:spacing w:line="360" w:lineRule="auto"/>
        <w:ind w:firstLine="420"/>
        <w:rPr>
          <w:color w:val="auto"/>
          <w:highlight w:val="none"/>
        </w:rPr>
      </w:pPr>
      <w:r>
        <w:rPr>
          <w:rFonts w:hint="eastAsia"/>
          <w:color w:val="auto"/>
          <w:highlight w:val="none"/>
        </w:rPr>
        <w:t xml:space="preserve">（5）技术参数响应及偏离表 </w:t>
      </w:r>
    </w:p>
    <w:p w14:paraId="2466E095">
      <w:pPr>
        <w:spacing w:line="360" w:lineRule="auto"/>
        <w:ind w:firstLine="420"/>
        <w:rPr>
          <w:color w:val="auto"/>
          <w:highlight w:val="none"/>
        </w:rPr>
      </w:pPr>
      <w:r>
        <w:rPr>
          <w:rFonts w:hint="eastAsia"/>
          <w:color w:val="auto"/>
          <w:highlight w:val="none"/>
        </w:rPr>
        <w:t xml:space="preserve">（6）商务条款响应及偏离表 </w:t>
      </w:r>
    </w:p>
    <w:p w14:paraId="6F11C194">
      <w:pPr>
        <w:spacing w:line="360" w:lineRule="auto"/>
        <w:ind w:firstLine="420"/>
        <w:rPr>
          <w:color w:val="auto"/>
          <w:highlight w:val="none"/>
        </w:rPr>
      </w:pPr>
      <w:r>
        <w:rPr>
          <w:rFonts w:hint="eastAsia"/>
          <w:color w:val="auto"/>
          <w:highlight w:val="none"/>
        </w:rPr>
        <w:t>（7）其他 （供应商认为有必要提供的声明和文件，如有自拟并自行添加）</w:t>
      </w:r>
    </w:p>
    <w:p w14:paraId="30816231">
      <w:pPr>
        <w:spacing w:line="360" w:lineRule="auto"/>
        <w:ind w:firstLine="420"/>
        <w:rPr>
          <w:color w:val="auto"/>
          <w:highlight w:val="none"/>
        </w:rPr>
      </w:pPr>
      <w:r>
        <w:rPr>
          <w:rFonts w:hint="eastAsia"/>
          <w:color w:val="auto"/>
          <w:highlight w:val="none"/>
        </w:rPr>
        <w:t>10.2 供应商应当根据采购文件要求编制响应文件，响应文件应对采购文件提出的要求和条件作出响应，并在相应的响应文件中逐条标明满足与否。</w:t>
      </w:r>
    </w:p>
    <w:p w14:paraId="4981D112">
      <w:pPr>
        <w:spacing w:line="360" w:lineRule="auto"/>
        <w:ind w:firstLine="420"/>
        <w:rPr>
          <w:color w:val="auto"/>
          <w:highlight w:val="none"/>
        </w:rPr>
      </w:pPr>
      <w:r>
        <w:rPr>
          <w:rFonts w:hint="eastAsia"/>
          <w:color w:val="auto"/>
          <w:highlight w:val="none"/>
        </w:rPr>
        <w:t>11、证明供应商资格及符合采购文件规定的文件</w:t>
      </w:r>
    </w:p>
    <w:p w14:paraId="28EB4CDA">
      <w:pPr>
        <w:spacing w:line="360" w:lineRule="auto"/>
        <w:ind w:firstLine="420"/>
        <w:rPr>
          <w:color w:val="auto"/>
          <w:highlight w:val="none"/>
        </w:rPr>
      </w:pPr>
      <w:r>
        <w:rPr>
          <w:rFonts w:hint="eastAsia"/>
          <w:color w:val="auto"/>
          <w:highlight w:val="none"/>
        </w:rPr>
        <w:t>11.1供应商应按要求提交资格证明文件及符合采购文件规定的文件。</w:t>
      </w:r>
    </w:p>
    <w:p w14:paraId="5C6B6952">
      <w:pPr>
        <w:spacing w:line="360" w:lineRule="auto"/>
        <w:ind w:firstLine="420"/>
        <w:rPr>
          <w:color w:val="auto"/>
          <w:highlight w:val="none"/>
        </w:rPr>
      </w:pPr>
      <w:r>
        <w:rPr>
          <w:rFonts w:hint="eastAsia"/>
          <w:color w:val="auto"/>
          <w:highlight w:val="none"/>
        </w:rPr>
        <w:t>11.2供应商应提交证明其有资格参加磋商和成交后有能力独立履行合同的文件。</w:t>
      </w:r>
    </w:p>
    <w:p w14:paraId="2E189029">
      <w:pPr>
        <w:spacing w:line="360" w:lineRule="auto"/>
        <w:ind w:firstLine="420"/>
        <w:rPr>
          <w:color w:val="auto"/>
          <w:highlight w:val="none"/>
        </w:rPr>
      </w:pPr>
      <w:r>
        <w:rPr>
          <w:rFonts w:hint="eastAsia"/>
          <w:color w:val="auto"/>
          <w:highlight w:val="none"/>
        </w:rPr>
        <w:t>11.3供应商除必须具有履行合同所需提供的产品或服务（工程）的能力外，还必须具备相应的财务、技术方面的能力。</w:t>
      </w:r>
    </w:p>
    <w:p w14:paraId="0D687F50">
      <w:pPr>
        <w:spacing w:line="360" w:lineRule="auto"/>
        <w:ind w:firstLine="420"/>
        <w:rPr>
          <w:color w:val="auto"/>
          <w:highlight w:val="none"/>
        </w:rPr>
      </w:pPr>
      <w:r>
        <w:rPr>
          <w:rFonts w:hint="eastAsia"/>
          <w:color w:val="auto"/>
          <w:highlight w:val="none"/>
        </w:rPr>
        <w:t>11.4供应商应提交根据合同要求提供的证明服务（工程）质量合格以及符合采购文件规定的证明文件。</w:t>
      </w:r>
    </w:p>
    <w:p w14:paraId="60556C78">
      <w:pPr>
        <w:spacing w:line="360" w:lineRule="auto"/>
        <w:ind w:firstLine="420"/>
        <w:rPr>
          <w:color w:val="auto"/>
          <w:highlight w:val="none"/>
        </w:rPr>
      </w:pPr>
      <w:r>
        <w:rPr>
          <w:rFonts w:hint="eastAsia"/>
          <w:color w:val="auto"/>
          <w:highlight w:val="none"/>
        </w:rPr>
        <w:t>11.5证明供应商所提供服务（工程）与采购文件的要求相一致的文件可以是手册、图纸、文字资料和数据。</w:t>
      </w:r>
    </w:p>
    <w:p w14:paraId="4EBC3867">
      <w:pPr>
        <w:spacing w:line="360" w:lineRule="auto"/>
        <w:ind w:firstLine="420"/>
        <w:rPr>
          <w:color w:val="auto"/>
          <w:highlight w:val="none"/>
        </w:rPr>
      </w:pPr>
      <w:r>
        <w:rPr>
          <w:rFonts w:hint="eastAsia"/>
          <w:color w:val="auto"/>
          <w:highlight w:val="none"/>
        </w:rPr>
        <w:t>12、磋商响应报价表</w:t>
      </w:r>
    </w:p>
    <w:p w14:paraId="274548C6">
      <w:pPr>
        <w:spacing w:line="360" w:lineRule="auto"/>
        <w:ind w:firstLine="420"/>
        <w:rPr>
          <w:color w:val="auto"/>
          <w:highlight w:val="none"/>
        </w:rPr>
      </w:pPr>
      <w:r>
        <w:rPr>
          <w:rFonts w:hint="eastAsia"/>
          <w:color w:val="auto"/>
          <w:highlight w:val="none"/>
        </w:rPr>
        <w:t>12.1 供应商应按照采购文件规定格式填报磋商响应报价表，每项服务（工程）只允许有一个报价，任何有选择的报价将不予接受。</w:t>
      </w:r>
    </w:p>
    <w:p w14:paraId="5CCA69B0">
      <w:pPr>
        <w:spacing w:line="360" w:lineRule="auto"/>
        <w:ind w:firstLine="420"/>
        <w:rPr>
          <w:color w:val="auto"/>
          <w:highlight w:val="none"/>
        </w:rPr>
      </w:pPr>
      <w:r>
        <w:rPr>
          <w:rFonts w:hint="eastAsia"/>
          <w:color w:val="auto"/>
          <w:highlight w:val="none"/>
        </w:rPr>
        <w:t>12.2 标的物</w:t>
      </w:r>
    </w:p>
    <w:p w14:paraId="1DA7BB2C">
      <w:pPr>
        <w:spacing w:line="360" w:lineRule="auto"/>
        <w:ind w:firstLine="420"/>
        <w:rPr>
          <w:color w:val="auto"/>
          <w:highlight w:val="none"/>
        </w:rPr>
      </w:pPr>
      <w:r>
        <w:rPr>
          <w:rFonts w:hint="eastAsia"/>
          <w:color w:val="auto"/>
          <w:highlight w:val="none"/>
        </w:rPr>
        <w:t>采购人需求的服务（工程）供应、安装，调试及有关技术服务等。</w:t>
      </w:r>
    </w:p>
    <w:p w14:paraId="1B645118">
      <w:pPr>
        <w:spacing w:line="360" w:lineRule="auto"/>
        <w:ind w:firstLine="420"/>
        <w:rPr>
          <w:color w:val="auto"/>
          <w:highlight w:val="none"/>
        </w:rPr>
      </w:pPr>
      <w:r>
        <w:rPr>
          <w:rFonts w:hint="eastAsia"/>
          <w:color w:val="auto"/>
          <w:highlight w:val="none"/>
        </w:rPr>
        <w:t>12.3其它费用处理</w:t>
      </w:r>
    </w:p>
    <w:p w14:paraId="62B45877">
      <w:pPr>
        <w:spacing w:line="360" w:lineRule="auto"/>
        <w:ind w:firstLine="420"/>
        <w:rPr>
          <w:color w:val="auto"/>
          <w:highlight w:val="none"/>
        </w:rPr>
      </w:pPr>
      <w:r>
        <w:rPr>
          <w:rFonts w:hint="eastAsia"/>
          <w:color w:val="auto"/>
          <w:highlight w:val="none"/>
        </w:rPr>
        <w:t>采购文件未列明，而供应商认为必需的费用也需列入报价。</w:t>
      </w:r>
    </w:p>
    <w:p w14:paraId="23B85DA7">
      <w:pPr>
        <w:spacing w:line="360" w:lineRule="auto"/>
        <w:ind w:firstLine="420"/>
        <w:rPr>
          <w:color w:val="auto"/>
          <w:highlight w:val="none"/>
        </w:rPr>
      </w:pPr>
      <w:r>
        <w:rPr>
          <w:rFonts w:hint="eastAsia"/>
          <w:color w:val="auto"/>
          <w:highlight w:val="none"/>
        </w:rPr>
        <w:t>13、技术参数响应及偏离表、商务条款响应及偏离表及磋商服务（工程）说明</w:t>
      </w:r>
    </w:p>
    <w:p w14:paraId="718CE45F">
      <w:pPr>
        <w:spacing w:line="360" w:lineRule="auto"/>
        <w:ind w:firstLine="420"/>
        <w:rPr>
          <w:color w:val="auto"/>
          <w:highlight w:val="none"/>
        </w:rPr>
      </w:pPr>
      <w:r>
        <w:rPr>
          <w:rFonts w:hint="eastAsia"/>
          <w:color w:val="auto"/>
          <w:highlight w:val="none"/>
        </w:rPr>
        <w:t>13.1 对采购文件中的技术与商务条款要求逐项作出响应或偏离，并说明原因；</w:t>
      </w:r>
    </w:p>
    <w:p w14:paraId="2D42134E">
      <w:pPr>
        <w:spacing w:line="360" w:lineRule="auto"/>
        <w:ind w:firstLine="420"/>
        <w:rPr>
          <w:color w:val="auto"/>
          <w:highlight w:val="none"/>
        </w:rPr>
      </w:pPr>
      <w:r>
        <w:rPr>
          <w:rFonts w:hint="eastAsia"/>
          <w:color w:val="auto"/>
          <w:highlight w:val="none"/>
        </w:rPr>
        <w:t>13.2 提供参加本项目类似案例简介；</w:t>
      </w:r>
    </w:p>
    <w:p w14:paraId="5C9E99D6">
      <w:pPr>
        <w:spacing w:line="360" w:lineRule="auto"/>
        <w:ind w:firstLine="420"/>
        <w:rPr>
          <w:color w:val="auto"/>
          <w:highlight w:val="none"/>
        </w:rPr>
      </w:pPr>
      <w:r>
        <w:rPr>
          <w:rFonts w:hint="eastAsia"/>
          <w:color w:val="auto"/>
          <w:highlight w:val="none"/>
        </w:rPr>
        <w:t>13.3 详细阐述所投服务（工程）的主要组成部分、功能设计、实现思路及关键技术；</w:t>
      </w:r>
    </w:p>
    <w:p w14:paraId="7B287AEF">
      <w:pPr>
        <w:spacing w:line="360" w:lineRule="auto"/>
        <w:ind w:firstLine="420"/>
        <w:rPr>
          <w:color w:val="auto"/>
          <w:highlight w:val="none"/>
        </w:rPr>
      </w:pPr>
      <w:r>
        <w:rPr>
          <w:rFonts w:hint="eastAsia"/>
          <w:color w:val="auto"/>
          <w:highlight w:val="none"/>
        </w:rPr>
        <w:t>13.4 供应商认为需要的其他技术文件或说明。</w:t>
      </w:r>
    </w:p>
    <w:p w14:paraId="04DD6E69">
      <w:pPr>
        <w:spacing w:line="360" w:lineRule="auto"/>
        <w:ind w:firstLine="420"/>
        <w:rPr>
          <w:color w:val="auto"/>
          <w:highlight w:val="none"/>
        </w:rPr>
      </w:pPr>
      <w:r>
        <w:rPr>
          <w:rFonts w:hint="eastAsia"/>
          <w:color w:val="auto"/>
          <w:highlight w:val="none"/>
        </w:rPr>
        <w:t>14、服务承诺及售后服务机构、人员的情况介绍</w:t>
      </w:r>
    </w:p>
    <w:p w14:paraId="128E803A">
      <w:pPr>
        <w:spacing w:line="360" w:lineRule="auto"/>
        <w:ind w:firstLine="420"/>
        <w:rPr>
          <w:color w:val="auto"/>
          <w:highlight w:val="none"/>
        </w:rPr>
      </w:pPr>
      <w:r>
        <w:rPr>
          <w:rFonts w:hint="eastAsia"/>
          <w:color w:val="auto"/>
          <w:highlight w:val="none"/>
        </w:rPr>
        <w:t>14.1供应商的服务承诺应按不低于采购文件中商务要求的标准。</w:t>
      </w:r>
    </w:p>
    <w:p w14:paraId="5FD23E78">
      <w:pPr>
        <w:spacing w:line="360" w:lineRule="auto"/>
        <w:ind w:firstLine="420"/>
        <w:rPr>
          <w:color w:val="auto"/>
          <w:highlight w:val="none"/>
        </w:rPr>
      </w:pPr>
      <w:r>
        <w:rPr>
          <w:rFonts w:hint="eastAsia"/>
          <w:color w:val="auto"/>
          <w:highlight w:val="none"/>
        </w:rPr>
        <w:t>14.2提供供应商有关售后服务的管理制度、售后服务机构的分布情况、售后服务人员的数量、素质、技术水平及售后服务的反应能力。</w:t>
      </w:r>
    </w:p>
    <w:p w14:paraId="096F2F89">
      <w:pPr>
        <w:spacing w:line="360" w:lineRule="auto"/>
        <w:ind w:firstLine="420"/>
        <w:rPr>
          <w:b/>
          <w:bCs/>
          <w:color w:val="auto"/>
          <w:highlight w:val="none"/>
        </w:rPr>
      </w:pPr>
      <w:r>
        <w:rPr>
          <w:rFonts w:hint="eastAsia"/>
          <w:color w:val="auto"/>
          <w:highlight w:val="none"/>
        </w:rPr>
        <w:t>15、磋商响应函</w:t>
      </w:r>
    </w:p>
    <w:p w14:paraId="11DE0772">
      <w:pPr>
        <w:spacing w:line="360" w:lineRule="auto"/>
        <w:ind w:firstLine="420"/>
        <w:rPr>
          <w:color w:val="auto"/>
          <w:highlight w:val="none"/>
        </w:rPr>
      </w:pPr>
      <w:r>
        <w:rPr>
          <w:rFonts w:hint="eastAsia"/>
          <w:color w:val="auto"/>
          <w:highlight w:val="none"/>
        </w:rPr>
        <w:t>15.1 供应商应按照扬州市政府采购交易管理系统提供的格式完整、正确填写磋商响应函。</w:t>
      </w:r>
    </w:p>
    <w:p w14:paraId="2A99F721">
      <w:pPr>
        <w:spacing w:line="360" w:lineRule="auto"/>
        <w:ind w:firstLine="420"/>
        <w:rPr>
          <w:b/>
          <w:bCs/>
          <w:color w:val="auto"/>
          <w:highlight w:val="none"/>
        </w:rPr>
      </w:pPr>
      <w:r>
        <w:rPr>
          <w:rFonts w:hint="eastAsia"/>
          <w:color w:val="auto"/>
          <w:highlight w:val="none"/>
        </w:rPr>
        <w:t>16、磋商响应有效期</w:t>
      </w:r>
    </w:p>
    <w:p w14:paraId="46D664FE">
      <w:pPr>
        <w:spacing w:line="360" w:lineRule="auto"/>
        <w:ind w:firstLine="420"/>
        <w:rPr>
          <w:color w:val="auto"/>
          <w:highlight w:val="none"/>
        </w:rPr>
      </w:pPr>
      <w:r>
        <w:rPr>
          <w:rFonts w:hint="eastAsia"/>
          <w:color w:val="auto"/>
          <w:highlight w:val="none"/>
        </w:rPr>
        <w:t>16.1 磋商响应有效期为代理机构规定的响应文件接收截止时间后</w:t>
      </w:r>
      <w:r>
        <w:rPr>
          <w:rFonts w:hint="eastAsia"/>
          <w:b/>
          <w:bCs/>
          <w:color w:val="auto"/>
          <w:highlight w:val="none"/>
          <w:u w:val="single"/>
        </w:rPr>
        <w:t>六十（60）天</w:t>
      </w:r>
      <w:r>
        <w:rPr>
          <w:rFonts w:hint="eastAsia"/>
          <w:color w:val="auto"/>
          <w:highlight w:val="none"/>
        </w:rPr>
        <w:t>。磋商响应有效期比规定短的将被视为非实质性响应性而予以拒绝。</w:t>
      </w:r>
    </w:p>
    <w:p w14:paraId="35BBFB6A">
      <w:pPr>
        <w:spacing w:line="360" w:lineRule="auto"/>
        <w:ind w:firstLine="420"/>
        <w:rPr>
          <w:color w:val="auto"/>
          <w:highlight w:val="none"/>
        </w:rPr>
      </w:pPr>
      <w:r>
        <w:rPr>
          <w:rFonts w:hint="eastAsia"/>
          <w:color w:val="auto"/>
          <w:highlight w:val="none"/>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14:paraId="395B8D33">
      <w:pPr>
        <w:spacing w:line="360" w:lineRule="auto"/>
        <w:ind w:firstLine="420"/>
        <w:rPr>
          <w:color w:val="auto"/>
          <w:highlight w:val="none"/>
        </w:rPr>
      </w:pPr>
      <w:bookmarkStart w:id="13" w:name="_Toc20823297"/>
      <w:bookmarkStart w:id="14" w:name="_Toc16938541"/>
      <w:r>
        <w:rPr>
          <w:rFonts w:hint="eastAsia"/>
          <w:color w:val="auto"/>
          <w:highlight w:val="none"/>
        </w:rPr>
        <w:t>17、响应文件</w:t>
      </w:r>
      <w:bookmarkEnd w:id="13"/>
      <w:bookmarkEnd w:id="14"/>
      <w:r>
        <w:rPr>
          <w:rFonts w:hint="eastAsia"/>
          <w:color w:val="auto"/>
          <w:highlight w:val="none"/>
        </w:rPr>
        <w:t>的递交</w:t>
      </w:r>
    </w:p>
    <w:p w14:paraId="6C189193">
      <w:pPr>
        <w:spacing w:line="360" w:lineRule="auto"/>
        <w:ind w:firstLine="420"/>
        <w:rPr>
          <w:color w:val="auto"/>
          <w:highlight w:val="none"/>
        </w:rPr>
      </w:pPr>
      <w:r>
        <w:rPr>
          <w:rFonts w:hint="eastAsia"/>
          <w:color w:val="auto"/>
          <w:highlight w:val="none"/>
        </w:rPr>
        <w:t>17.1 电子响应文件的递交供应商应当按照《操作手册》规定，在磋商响应截止时间前制作并上传电子响应文件。</w:t>
      </w:r>
      <w:bookmarkStart w:id="15" w:name="_Toc16938542"/>
      <w:bookmarkStart w:id="16" w:name="_Toc20823298"/>
    </w:p>
    <w:p w14:paraId="3D3E0D8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17.2政府采购管理交易系统（苏采云）相关要求是本采购文件的组成部分。</w:t>
      </w:r>
    </w:p>
    <w:p w14:paraId="07D14766">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17.3供应商应对 CA 证书妥善保管，如被他人盗用投标，因此带来的结果均由供应商自行承担。</w:t>
      </w:r>
    </w:p>
    <w:p w14:paraId="40FE2D40">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17.4供应商应当对采购文件提出的要求和条件作出实质性响应，并在电子投标系统逐条应答。</w:t>
      </w:r>
    </w:p>
    <w:p w14:paraId="514FF8BB">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17.5供应商应对要求提供的资格证明文件（如资质证书、资格证书）、技术资料（如白皮书、彩页、手册、检测报告等）扫描上传至投标系统。</w:t>
      </w:r>
    </w:p>
    <w:p w14:paraId="1751EE8D">
      <w:pPr>
        <w:spacing w:line="360" w:lineRule="auto"/>
        <w:ind w:firstLine="420"/>
        <w:rPr>
          <w:color w:val="auto"/>
          <w:highlight w:val="none"/>
        </w:rPr>
      </w:pPr>
      <w:r>
        <w:rPr>
          <w:rFonts w:hint="eastAsia" w:ascii="宋体" w:hAnsi="宋体"/>
          <w:color w:val="auto"/>
          <w:szCs w:val="21"/>
          <w:highlight w:val="none"/>
        </w:rPr>
        <w:t>17.6各供应商应在规定时间内凭CA证书进行网上解密。</w:t>
      </w:r>
    </w:p>
    <w:p w14:paraId="4C389129">
      <w:pPr>
        <w:spacing w:line="360" w:lineRule="auto"/>
        <w:ind w:firstLine="420"/>
        <w:rPr>
          <w:b/>
          <w:bCs/>
          <w:color w:val="auto"/>
          <w:sz w:val="24"/>
          <w:highlight w:val="none"/>
        </w:rPr>
      </w:pPr>
      <w:r>
        <w:rPr>
          <w:rFonts w:hint="eastAsia"/>
          <w:color w:val="auto"/>
          <w:highlight w:val="none"/>
        </w:rPr>
        <w:t>18、磋商响应截止日期</w:t>
      </w:r>
      <w:bookmarkEnd w:id="15"/>
      <w:bookmarkEnd w:id="16"/>
    </w:p>
    <w:p w14:paraId="0E583B73">
      <w:pPr>
        <w:spacing w:line="360" w:lineRule="auto"/>
        <w:ind w:firstLine="420"/>
        <w:rPr>
          <w:i/>
          <w:color w:val="auto"/>
          <w:highlight w:val="none"/>
          <w:u w:val="single"/>
        </w:rPr>
      </w:pPr>
      <w:r>
        <w:rPr>
          <w:rFonts w:hint="eastAsia"/>
          <w:i/>
          <w:color w:val="auto"/>
          <w:highlight w:val="none"/>
          <w:u w:val="single"/>
        </w:rPr>
        <w:t>18.1 供应商上传电子响应文件的时间不得迟于采购公告中规定的磋商响应截止时间。</w:t>
      </w:r>
    </w:p>
    <w:p w14:paraId="24C60BAC">
      <w:pPr>
        <w:spacing w:line="360" w:lineRule="auto"/>
        <w:ind w:firstLine="420"/>
        <w:rPr>
          <w:color w:val="auto"/>
          <w:highlight w:val="none"/>
        </w:rPr>
      </w:pPr>
      <w:r>
        <w:rPr>
          <w:rFonts w:hint="eastAsia"/>
          <w:color w:val="auto"/>
          <w:highlight w:val="none"/>
        </w:rPr>
        <w:t>供应商应充分考虑到网络环境、网络带宽等风险因素，如因供应商自身原因造成的电子响应文件上传不成功由供应商自行承担全部责任。</w:t>
      </w:r>
    </w:p>
    <w:p w14:paraId="175A2D4B">
      <w:pPr>
        <w:spacing w:line="360" w:lineRule="auto"/>
        <w:ind w:firstLine="420"/>
        <w:rPr>
          <w:color w:val="auto"/>
          <w:highlight w:val="none"/>
        </w:rPr>
      </w:pPr>
      <w:r>
        <w:rPr>
          <w:rFonts w:hint="eastAsia"/>
          <w:color w:val="auto"/>
          <w:highlight w:val="none"/>
        </w:rPr>
        <w:t>18.2 代理机构可以按照规定，通过修改采购文件延长磋商截止日期，在此情况下，供应商的所有权利和义务以及供应商受制的截止日期均应以延长后新的截止日期为准。</w:t>
      </w:r>
    </w:p>
    <w:p w14:paraId="241AB642">
      <w:pPr>
        <w:spacing w:line="360" w:lineRule="auto"/>
        <w:ind w:firstLine="420"/>
        <w:rPr>
          <w:color w:val="auto"/>
          <w:highlight w:val="none"/>
        </w:rPr>
      </w:pPr>
      <w:bookmarkStart w:id="17" w:name="_Toc16938543"/>
      <w:bookmarkStart w:id="18" w:name="_Toc20823299"/>
      <w:r>
        <w:rPr>
          <w:rFonts w:hint="eastAsia"/>
          <w:color w:val="auto"/>
          <w:highlight w:val="none"/>
        </w:rPr>
        <w:t>19、响应文件</w:t>
      </w:r>
      <w:bookmarkEnd w:id="17"/>
      <w:bookmarkEnd w:id="18"/>
      <w:r>
        <w:rPr>
          <w:rFonts w:hint="eastAsia"/>
          <w:color w:val="auto"/>
          <w:highlight w:val="none"/>
        </w:rPr>
        <w:t>的拒收</w:t>
      </w:r>
    </w:p>
    <w:p w14:paraId="6EA5D106">
      <w:pPr>
        <w:spacing w:line="360" w:lineRule="auto"/>
        <w:ind w:firstLine="420"/>
        <w:rPr>
          <w:color w:val="auto"/>
          <w:highlight w:val="none"/>
        </w:rPr>
      </w:pPr>
      <w:r>
        <w:rPr>
          <w:rFonts w:hint="eastAsia"/>
          <w:color w:val="auto"/>
          <w:highlight w:val="none"/>
        </w:rPr>
        <w:t>19.1代理机构拒绝接收在其规定的磋商截止时间后上传的任何响应文件。</w:t>
      </w:r>
    </w:p>
    <w:p w14:paraId="30D23C88">
      <w:pPr>
        <w:spacing w:line="360" w:lineRule="auto"/>
        <w:ind w:firstLine="420"/>
        <w:rPr>
          <w:color w:val="auto"/>
          <w:highlight w:val="none"/>
        </w:rPr>
      </w:pPr>
      <w:bookmarkStart w:id="19" w:name="_Toc20823300"/>
      <w:bookmarkStart w:id="20" w:name="_Toc16938544"/>
      <w:r>
        <w:rPr>
          <w:rFonts w:hint="eastAsia"/>
          <w:color w:val="auto"/>
          <w:highlight w:val="none"/>
        </w:rPr>
        <w:t>20、响应文件的撤回和修改</w:t>
      </w:r>
      <w:bookmarkEnd w:id="19"/>
      <w:bookmarkEnd w:id="20"/>
    </w:p>
    <w:p w14:paraId="6D558524">
      <w:pPr>
        <w:spacing w:line="360" w:lineRule="auto"/>
        <w:ind w:firstLine="420"/>
        <w:rPr>
          <w:color w:val="auto"/>
          <w:highlight w:val="none"/>
        </w:rPr>
      </w:pPr>
      <w:r>
        <w:rPr>
          <w:rFonts w:hint="eastAsia"/>
          <w:color w:val="auto"/>
          <w:highlight w:val="none"/>
        </w:rPr>
        <w:t>20.1 响应文件的撤回</w:t>
      </w:r>
    </w:p>
    <w:p w14:paraId="46CE0366">
      <w:pPr>
        <w:spacing w:line="360" w:lineRule="auto"/>
        <w:ind w:firstLine="420"/>
        <w:rPr>
          <w:color w:val="auto"/>
          <w:highlight w:val="none"/>
        </w:rPr>
      </w:pPr>
      <w:r>
        <w:rPr>
          <w:rFonts w:hint="eastAsia"/>
          <w:color w:val="auto"/>
          <w:highlight w:val="none"/>
        </w:rPr>
        <w:t>20.1.1 电子响应文件的撤回</w:t>
      </w:r>
    </w:p>
    <w:p w14:paraId="628A2474">
      <w:pPr>
        <w:spacing w:line="360" w:lineRule="auto"/>
        <w:ind w:firstLine="420"/>
        <w:rPr>
          <w:color w:val="auto"/>
          <w:highlight w:val="none"/>
        </w:rPr>
      </w:pPr>
      <w:r>
        <w:rPr>
          <w:rFonts w:hint="eastAsia"/>
          <w:color w:val="auto"/>
          <w:highlight w:val="none"/>
        </w:rPr>
        <w:t>供应商可在磋商截止时间前，撤回其电子响应文件，具体操作方法见《操作手册》。</w:t>
      </w:r>
    </w:p>
    <w:p w14:paraId="06F35E06">
      <w:pPr>
        <w:spacing w:line="360" w:lineRule="auto"/>
        <w:ind w:firstLine="420"/>
        <w:rPr>
          <w:color w:val="auto"/>
          <w:highlight w:val="none"/>
        </w:rPr>
      </w:pPr>
      <w:r>
        <w:rPr>
          <w:rFonts w:hint="eastAsia"/>
          <w:color w:val="auto"/>
          <w:highlight w:val="none"/>
        </w:rPr>
        <w:t>20.1.2 供应商撤回电子响应文件，则认为其不再参与本项目磋商谈判。</w:t>
      </w:r>
    </w:p>
    <w:p w14:paraId="123993BB">
      <w:pPr>
        <w:spacing w:line="360" w:lineRule="auto"/>
        <w:ind w:firstLine="420"/>
        <w:rPr>
          <w:color w:val="auto"/>
          <w:highlight w:val="none"/>
        </w:rPr>
      </w:pPr>
      <w:r>
        <w:rPr>
          <w:rFonts w:hint="eastAsia"/>
          <w:color w:val="auto"/>
          <w:highlight w:val="none"/>
        </w:rPr>
        <w:t>20.2 响应文件的修改</w:t>
      </w:r>
    </w:p>
    <w:p w14:paraId="24B1A1EB">
      <w:pPr>
        <w:spacing w:line="360" w:lineRule="auto"/>
        <w:ind w:firstLine="420"/>
        <w:rPr>
          <w:color w:val="auto"/>
          <w:highlight w:val="none"/>
        </w:rPr>
      </w:pPr>
      <w:r>
        <w:rPr>
          <w:rFonts w:hint="eastAsia"/>
          <w:color w:val="auto"/>
          <w:highlight w:val="none"/>
        </w:rPr>
        <w:t>供应商可在磋商截止时间前，对其电子响应文件进行修改，具体操作方法见《操作手册》。</w:t>
      </w:r>
    </w:p>
    <w:p w14:paraId="7097FFEA">
      <w:pPr>
        <w:spacing w:line="360" w:lineRule="auto"/>
        <w:ind w:firstLine="420"/>
        <w:rPr>
          <w:color w:val="auto"/>
          <w:highlight w:val="none"/>
        </w:rPr>
      </w:pPr>
      <w:r>
        <w:rPr>
          <w:rFonts w:hint="eastAsia"/>
          <w:color w:val="auto"/>
          <w:highlight w:val="none"/>
        </w:rPr>
        <w:t>20.3 在磋商截止时间之后，供应商不得对其电子响应文件作任何修改。</w:t>
      </w:r>
    </w:p>
    <w:p w14:paraId="178D6379">
      <w:pPr>
        <w:spacing w:line="360" w:lineRule="auto"/>
        <w:ind w:firstLine="420"/>
        <w:rPr>
          <w:color w:val="auto"/>
          <w:highlight w:val="none"/>
        </w:rPr>
      </w:pPr>
      <w:r>
        <w:rPr>
          <w:rFonts w:hint="eastAsia"/>
          <w:color w:val="auto"/>
          <w:highlight w:val="none"/>
        </w:rPr>
        <w:t>20.4 在磋商截止时间至采购文件中规定的磋商有效期满之间的这段时间内，供应商不得撤回其响应文件。</w:t>
      </w:r>
    </w:p>
    <w:p w14:paraId="0C837379">
      <w:pPr>
        <w:spacing w:line="360" w:lineRule="auto"/>
        <w:ind w:firstLine="420"/>
        <w:rPr>
          <w:b/>
          <w:bCs/>
          <w:color w:val="auto"/>
          <w:highlight w:val="none"/>
        </w:rPr>
      </w:pPr>
      <w:r>
        <w:rPr>
          <w:rFonts w:hint="eastAsia"/>
          <w:color w:val="auto"/>
          <w:highlight w:val="none"/>
        </w:rPr>
        <w:t>21、磋商</w:t>
      </w:r>
    </w:p>
    <w:p w14:paraId="19F6B962">
      <w:pPr>
        <w:spacing w:line="360" w:lineRule="auto"/>
        <w:ind w:firstLine="420"/>
        <w:rPr>
          <w:color w:val="auto"/>
          <w:highlight w:val="none"/>
        </w:rPr>
      </w:pPr>
      <w:r>
        <w:rPr>
          <w:rFonts w:hint="eastAsia"/>
          <w:color w:val="auto"/>
          <w:highlight w:val="none"/>
        </w:rPr>
        <w:t>21.1 代理机构将在采购公告中规定的时间和地点组织磋商开始仪式。供应商应当按照《操作手册》规定，参加磋商活动。</w:t>
      </w:r>
    </w:p>
    <w:p w14:paraId="4829C6C7">
      <w:pPr>
        <w:spacing w:line="360" w:lineRule="auto"/>
        <w:ind w:firstLine="420"/>
        <w:rPr>
          <w:color w:val="auto"/>
          <w:highlight w:val="none"/>
        </w:rPr>
      </w:pPr>
      <w:r>
        <w:rPr>
          <w:rFonts w:hint="eastAsia"/>
          <w:color w:val="auto"/>
          <w:highlight w:val="none"/>
        </w:rPr>
        <w:t>21.2供应商在磋商过程中涉及到的响应文件解密等工作，应按照《操作手册》规定执行。</w:t>
      </w:r>
    </w:p>
    <w:p w14:paraId="407F4317">
      <w:pPr>
        <w:spacing w:line="360" w:lineRule="auto"/>
        <w:ind w:firstLine="420"/>
        <w:rPr>
          <w:b/>
          <w:bCs/>
          <w:color w:val="auto"/>
          <w:highlight w:val="none"/>
        </w:rPr>
      </w:pPr>
      <w:r>
        <w:rPr>
          <w:rFonts w:hint="eastAsia"/>
          <w:color w:val="auto"/>
          <w:highlight w:val="none"/>
        </w:rPr>
        <w:t>22、磋商小组</w:t>
      </w:r>
    </w:p>
    <w:p w14:paraId="21FD89BF">
      <w:pPr>
        <w:spacing w:line="360" w:lineRule="auto"/>
        <w:ind w:firstLine="420"/>
        <w:rPr>
          <w:b/>
          <w:bCs/>
          <w:color w:val="auto"/>
          <w:highlight w:val="none"/>
        </w:rPr>
      </w:pPr>
      <w:r>
        <w:rPr>
          <w:rFonts w:hint="eastAsia"/>
          <w:color w:val="auto"/>
          <w:highlight w:val="none"/>
        </w:rPr>
        <w:t>22.1磋商开始后，代理机构将立即组织磋商小组进行评审。</w:t>
      </w:r>
    </w:p>
    <w:p w14:paraId="3AE168E1">
      <w:pPr>
        <w:spacing w:line="360" w:lineRule="auto"/>
        <w:ind w:firstLine="420"/>
        <w:rPr>
          <w:color w:val="auto"/>
          <w:highlight w:val="none"/>
        </w:rPr>
      </w:pPr>
      <w:r>
        <w:rPr>
          <w:rFonts w:hint="eastAsia"/>
          <w:color w:val="auto"/>
          <w:highlight w:val="none"/>
        </w:rPr>
        <w:t>22.2磋商小组由采购人代表和有关技术、经济等方面的专家组成，且人员构成符合政府采购有关规定。</w:t>
      </w:r>
    </w:p>
    <w:p w14:paraId="5178C710">
      <w:pPr>
        <w:spacing w:line="360" w:lineRule="auto"/>
        <w:ind w:firstLine="420"/>
        <w:rPr>
          <w:color w:val="auto"/>
          <w:highlight w:val="none"/>
        </w:rPr>
      </w:pPr>
      <w:r>
        <w:rPr>
          <w:rFonts w:hint="eastAsia"/>
          <w:color w:val="auto"/>
          <w:highlight w:val="none"/>
        </w:rPr>
        <w:t>22.3磋商小组独立工作，负责评审有效响应文件并确定成交候选供应商。</w:t>
      </w:r>
    </w:p>
    <w:p w14:paraId="41137FD0">
      <w:pPr>
        <w:spacing w:line="360" w:lineRule="auto"/>
        <w:ind w:firstLine="420"/>
        <w:rPr>
          <w:b/>
          <w:bCs/>
          <w:color w:val="auto"/>
          <w:highlight w:val="none"/>
        </w:rPr>
      </w:pPr>
      <w:r>
        <w:rPr>
          <w:rFonts w:hint="eastAsia"/>
          <w:color w:val="auto"/>
          <w:highlight w:val="none"/>
        </w:rPr>
        <w:t>23、评审过程的保密与公正</w:t>
      </w:r>
    </w:p>
    <w:p w14:paraId="66B670EF">
      <w:pPr>
        <w:spacing w:line="360" w:lineRule="auto"/>
        <w:ind w:firstLine="420"/>
        <w:rPr>
          <w:color w:val="auto"/>
          <w:highlight w:val="none"/>
        </w:rPr>
      </w:pPr>
      <w:r>
        <w:rPr>
          <w:rFonts w:hint="eastAsia"/>
          <w:color w:val="auto"/>
          <w:highlight w:val="none"/>
        </w:rPr>
        <w:t>23.1评审专家应当遵守评审工作纪律，不得泄露评审情况和评审中获悉的商业秘密。</w:t>
      </w:r>
    </w:p>
    <w:p w14:paraId="09424A88">
      <w:pPr>
        <w:spacing w:line="360" w:lineRule="auto"/>
        <w:ind w:firstLine="420"/>
        <w:rPr>
          <w:color w:val="auto"/>
          <w:highlight w:val="none"/>
        </w:rPr>
      </w:pPr>
      <w:r>
        <w:rPr>
          <w:rFonts w:hint="eastAsia"/>
          <w:color w:val="auto"/>
          <w:highlight w:val="none"/>
        </w:rPr>
        <w:t>23.2在评审过程中，供应商不得以任何行为影响评审过程，否则其响应文件将被作为无效响应文件。</w:t>
      </w:r>
    </w:p>
    <w:p w14:paraId="434A4F3B">
      <w:pPr>
        <w:spacing w:line="360" w:lineRule="auto"/>
        <w:ind w:firstLine="420"/>
        <w:rPr>
          <w:color w:val="auto"/>
          <w:highlight w:val="none"/>
        </w:rPr>
      </w:pPr>
      <w:r>
        <w:rPr>
          <w:rFonts w:hint="eastAsia"/>
          <w:color w:val="auto"/>
          <w:highlight w:val="none"/>
        </w:rPr>
        <w:t>23.3 在评审期间，代理机构将设专门工作人员与供应商联系。</w:t>
      </w:r>
    </w:p>
    <w:p w14:paraId="33E05BF6">
      <w:pPr>
        <w:spacing w:line="360" w:lineRule="auto"/>
        <w:ind w:firstLine="420"/>
        <w:rPr>
          <w:color w:val="auto"/>
          <w:highlight w:val="none"/>
        </w:rPr>
      </w:pPr>
      <w:r>
        <w:rPr>
          <w:rFonts w:hint="eastAsia"/>
          <w:color w:val="auto"/>
          <w:highlight w:val="none"/>
        </w:rPr>
        <w:t>23.4 代理机构和磋商小组不向未成交的供应商解释未成交原因，也不公布评审过程中的相关细节。</w:t>
      </w:r>
    </w:p>
    <w:p w14:paraId="3FCA6D76">
      <w:pPr>
        <w:spacing w:line="360" w:lineRule="auto"/>
        <w:ind w:firstLine="420"/>
        <w:rPr>
          <w:b/>
          <w:bCs/>
          <w:color w:val="auto"/>
          <w:highlight w:val="none"/>
        </w:rPr>
      </w:pPr>
      <w:r>
        <w:rPr>
          <w:rFonts w:hint="eastAsia"/>
          <w:color w:val="auto"/>
          <w:highlight w:val="none"/>
        </w:rPr>
        <w:t>24、磋商的澄清</w:t>
      </w:r>
    </w:p>
    <w:p w14:paraId="657853B2">
      <w:pPr>
        <w:spacing w:line="360" w:lineRule="auto"/>
        <w:ind w:firstLine="420"/>
        <w:rPr>
          <w:color w:val="auto"/>
          <w:highlight w:val="none"/>
        </w:rPr>
      </w:pPr>
      <w:r>
        <w:rPr>
          <w:rFonts w:hint="eastAsia"/>
          <w:color w:val="auto"/>
          <w:highlight w:val="none"/>
        </w:rPr>
        <w:t>24.1评审期间，磋商小组要求供应商澄清、说明或者更正响应文件以电子函件形式提交但并非对每个供应商都作澄清要求。</w:t>
      </w:r>
    </w:p>
    <w:p w14:paraId="621B3D05">
      <w:pPr>
        <w:spacing w:line="360" w:lineRule="auto"/>
        <w:ind w:firstLine="420"/>
        <w:rPr>
          <w:color w:val="auto"/>
          <w:highlight w:val="none"/>
        </w:rPr>
      </w:pPr>
      <w:r>
        <w:rPr>
          <w:rFonts w:hint="eastAsia"/>
          <w:color w:val="auto"/>
          <w:highlight w:val="none"/>
        </w:rPr>
        <w:t>24.2接到磋商小组澄清要求的供应商应按磋商小组规定的时间和格式在</w:t>
      </w:r>
      <w:r>
        <w:rPr>
          <w:rFonts w:hint="eastAsia"/>
          <w:b/>
          <w:bCs/>
          <w:color w:val="auto"/>
          <w:highlight w:val="none"/>
        </w:rPr>
        <w:t>“政府采购管理交易系统（苏采云）”</w:t>
      </w:r>
      <w:r>
        <w:rPr>
          <w:rFonts w:hint="eastAsia"/>
          <w:color w:val="auto"/>
          <w:highlight w:val="none"/>
        </w:rPr>
        <w:t>中做出澄清，澄清的内容作为响应文件的补充部分。具体</w:t>
      </w:r>
      <w:r>
        <w:rPr>
          <w:color w:val="auto"/>
          <w:highlight w:val="none"/>
        </w:rPr>
        <w:t>操作</w:t>
      </w:r>
      <w:r>
        <w:rPr>
          <w:rFonts w:hint="eastAsia"/>
          <w:color w:val="auto"/>
          <w:highlight w:val="none"/>
        </w:rPr>
        <w:t>方式</w:t>
      </w:r>
      <w:r>
        <w:rPr>
          <w:color w:val="auto"/>
          <w:highlight w:val="none"/>
        </w:rPr>
        <w:t>见</w:t>
      </w:r>
      <w:r>
        <w:rPr>
          <w:rFonts w:hint="eastAsia"/>
          <w:bCs/>
          <w:color w:val="auto"/>
          <w:highlight w:val="none"/>
        </w:rPr>
        <w:t>《操作手册》</w:t>
      </w:r>
      <w:r>
        <w:rPr>
          <w:rFonts w:hint="eastAsia"/>
          <w:color w:val="auto"/>
          <w:highlight w:val="none"/>
        </w:rPr>
        <w:t>。</w:t>
      </w:r>
    </w:p>
    <w:p w14:paraId="1C3DBD69">
      <w:pPr>
        <w:spacing w:line="360" w:lineRule="auto"/>
        <w:ind w:firstLine="420"/>
        <w:rPr>
          <w:color w:val="auto"/>
          <w:highlight w:val="none"/>
        </w:rPr>
      </w:pPr>
      <w:r>
        <w:rPr>
          <w:rFonts w:hint="eastAsia"/>
          <w:color w:val="auto"/>
          <w:highlight w:val="none"/>
        </w:rPr>
        <w:t>24.3 接到磋商小组澄清要求的供应商如未按规定做出澄清，其风险由供应商自行承担。</w:t>
      </w:r>
    </w:p>
    <w:p w14:paraId="378A447A">
      <w:pPr>
        <w:spacing w:line="360" w:lineRule="auto"/>
        <w:ind w:firstLine="420"/>
        <w:rPr>
          <w:b/>
          <w:bCs/>
          <w:color w:val="auto"/>
          <w:highlight w:val="none"/>
        </w:rPr>
      </w:pPr>
      <w:r>
        <w:rPr>
          <w:rFonts w:hint="eastAsia"/>
          <w:color w:val="auto"/>
          <w:highlight w:val="none"/>
        </w:rPr>
        <w:t>25、对响应文件的初审</w:t>
      </w:r>
    </w:p>
    <w:p w14:paraId="00D2E2FE">
      <w:pPr>
        <w:spacing w:line="360" w:lineRule="auto"/>
        <w:ind w:firstLine="420"/>
        <w:rPr>
          <w:color w:val="auto"/>
          <w:highlight w:val="none"/>
        </w:rPr>
      </w:pPr>
      <w:r>
        <w:rPr>
          <w:rFonts w:hint="eastAsia"/>
          <w:color w:val="auto"/>
          <w:highlight w:val="none"/>
        </w:rPr>
        <w:t>25.1响应文件初审分为资格审查和符合性审查。</w:t>
      </w:r>
    </w:p>
    <w:p w14:paraId="6D4488FD">
      <w:pPr>
        <w:spacing w:line="360" w:lineRule="auto"/>
        <w:ind w:firstLine="420"/>
        <w:rPr>
          <w:color w:val="auto"/>
          <w:highlight w:val="none"/>
        </w:rPr>
      </w:pPr>
      <w:r>
        <w:rPr>
          <w:rFonts w:hint="eastAsia"/>
          <w:color w:val="auto"/>
          <w:highlight w:val="none"/>
        </w:rPr>
        <w:t>25.1.1资格审查：依据法律法规和采购文件的规定，对响应文件中的资格证明文件进行审查。以确定供应商是否具备参加磋商的资格。</w:t>
      </w:r>
    </w:p>
    <w:p w14:paraId="7BCB687E">
      <w:pPr>
        <w:spacing w:line="360" w:lineRule="auto"/>
        <w:ind w:firstLine="420"/>
        <w:rPr>
          <w:color w:val="auto"/>
          <w:highlight w:val="none"/>
        </w:rPr>
      </w:pPr>
      <w:r>
        <w:rPr>
          <w:rFonts w:hint="eastAsia"/>
          <w:color w:val="auto"/>
          <w:highlight w:val="none"/>
        </w:rPr>
        <w:t>25.1.2符合性检查：依据采购文件的规定，由磋商小组从响应文件的有效性、完整性和对采购文件的响应程度进行审查，以确定是否对采购文件的实质性要求作出响应。</w:t>
      </w:r>
    </w:p>
    <w:p w14:paraId="0E17EDE2">
      <w:pPr>
        <w:spacing w:line="360" w:lineRule="auto"/>
        <w:ind w:firstLine="420"/>
        <w:rPr>
          <w:color w:val="auto"/>
          <w:highlight w:val="none"/>
        </w:rPr>
      </w:pPr>
      <w:r>
        <w:rPr>
          <w:rFonts w:hint="eastAsia"/>
          <w:color w:val="auto"/>
          <w:highlight w:val="none"/>
        </w:rPr>
        <w:t>25.1.3 未通过资格审查或符合性审查的供应商，代理机构将在</w:t>
      </w:r>
      <w:r>
        <w:rPr>
          <w:rFonts w:hint="eastAsia"/>
          <w:b/>
          <w:bCs/>
          <w:color w:val="auto"/>
          <w:highlight w:val="none"/>
        </w:rPr>
        <w:t>“政府采购管理交易系统（苏采云）”</w:t>
      </w:r>
      <w:r>
        <w:rPr>
          <w:rFonts w:hint="eastAsia"/>
          <w:color w:val="auto"/>
          <w:highlight w:val="none"/>
        </w:rPr>
        <w:t>中告知未通过资格审查或符合性审查的原因，评审结束后，代理机构将不再告知未通过资格审查或符合性审查的原因。</w:t>
      </w:r>
    </w:p>
    <w:p w14:paraId="566D29A1">
      <w:pPr>
        <w:spacing w:line="360" w:lineRule="auto"/>
        <w:ind w:firstLine="420"/>
        <w:rPr>
          <w:color w:val="auto"/>
          <w:highlight w:val="none"/>
        </w:rPr>
      </w:pPr>
      <w:r>
        <w:rPr>
          <w:rFonts w:hint="eastAsia"/>
          <w:color w:val="auto"/>
          <w:highlight w:val="none"/>
        </w:rPr>
        <w:t>25.2在详细评审之前，磋商小组将首先审查每份响应文件是否实质性响应了采购文件的要求。实质性响应的响应文件应该是与采购文件要求的全部条款、条件和规格相符，没有重大偏离或保留。</w:t>
      </w:r>
    </w:p>
    <w:p w14:paraId="6094FAF8">
      <w:pPr>
        <w:spacing w:line="360" w:lineRule="auto"/>
        <w:ind w:firstLine="420"/>
        <w:rPr>
          <w:color w:val="auto"/>
          <w:highlight w:val="none"/>
        </w:rPr>
      </w:pPr>
      <w:r>
        <w:rPr>
          <w:rFonts w:hint="eastAsia"/>
          <w:color w:val="auto"/>
          <w:highlight w:val="none"/>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3F8387F0">
      <w:pPr>
        <w:spacing w:line="360" w:lineRule="auto"/>
        <w:ind w:firstLine="420"/>
        <w:rPr>
          <w:color w:val="auto"/>
          <w:highlight w:val="none"/>
        </w:rPr>
      </w:pPr>
      <w:r>
        <w:rPr>
          <w:rFonts w:hint="eastAsia"/>
          <w:color w:val="auto"/>
          <w:highlight w:val="none"/>
        </w:rPr>
        <w:t>25.3如果响应文件实质上没有响应采购文件的要求，磋商小组将予以拒绝，供应商不得通过修改或撤销不合要求的偏离或保留而使其响应文件成为实质性响应的文件。</w:t>
      </w:r>
    </w:p>
    <w:p w14:paraId="398CEC8F">
      <w:pPr>
        <w:spacing w:line="360" w:lineRule="auto"/>
        <w:ind w:firstLine="420"/>
        <w:rPr>
          <w:color w:val="auto"/>
          <w:highlight w:val="none"/>
        </w:rPr>
      </w:pPr>
      <w:r>
        <w:rPr>
          <w:rFonts w:hint="eastAsia"/>
          <w:color w:val="auto"/>
          <w:highlight w:val="none"/>
        </w:rPr>
        <w:t>25.4 供应商在开、评标全过程中应保持通讯畅通，并安排专人与代理机构及磋商小组联系。</w:t>
      </w:r>
    </w:p>
    <w:p w14:paraId="71B879E4">
      <w:pPr>
        <w:spacing w:line="360" w:lineRule="auto"/>
        <w:ind w:firstLine="420"/>
        <w:rPr>
          <w:color w:val="auto"/>
          <w:highlight w:val="none"/>
        </w:rPr>
      </w:pPr>
      <w:r>
        <w:rPr>
          <w:rFonts w:hint="eastAsia"/>
          <w:color w:val="auto"/>
          <w:highlight w:val="none"/>
        </w:rPr>
        <w:t>26、磋商程序及评审方法和标准</w:t>
      </w:r>
    </w:p>
    <w:p w14:paraId="3CF7BF8A">
      <w:pPr>
        <w:spacing w:line="360" w:lineRule="auto"/>
        <w:ind w:firstLine="420"/>
        <w:rPr>
          <w:color w:val="auto"/>
          <w:highlight w:val="none"/>
        </w:rPr>
      </w:pPr>
      <w:r>
        <w:rPr>
          <w:rFonts w:hint="eastAsia"/>
          <w:color w:val="auto"/>
          <w:highlight w:val="none"/>
        </w:rPr>
        <w:t>26.1磋商程序</w:t>
      </w:r>
    </w:p>
    <w:p w14:paraId="0C170854">
      <w:pPr>
        <w:spacing w:line="360" w:lineRule="auto"/>
        <w:ind w:firstLine="420"/>
        <w:rPr>
          <w:color w:val="auto"/>
          <w:highlight w:val="none"/>
        </w:rPr>
      </w:pPr>
      <w:r>
        <w:rPr>
          <w:rFonts w:hint="eastAsia"/>
          <w:color w:val="auto"/>
          <w:highlight w:val="none"/>
        </w:rPr>
        <w:t>26.1.1 对于通过资格性和符合性审查的供应商，磋商小组所有成员将集中与单一供应商在“政府采购管理交易系统（苏采云）”中分别进行磋商。</w:t>
      </w:r>
    </w:p>
    <w:p w14:paraId="10B218DB">
      <w:pPr>
        <w:spacing w:line="360" w:lineRule="auto"/>
        <w:ind w:firstLine="420"/>
        <w:rPr>
          <w:color w:val="auto"/>
          <w:highlight w:val="none"/>
        </w:rPr>
      </w:pPr>
      <w:r>
        <w:rPr>
          <w:rFonts w:hint="eastAsia"/>
          <w:color w:val="auto"/>
          <w:highlight w:val="none"/>
        </w:rPr>
        <w:t>在磋商过程中，磋商小组可能根据磋商文件和磋商情况实质性变动的内容有：采购需求中的技术、服务（工程）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14:paraId="04D7DAD0">
      <w:pPr>
        <w:spacing w:line="360" w:lineRule="auto"/>
        <w:ind w:firstLine="420"/>
        <w:rPr>
          <w:color w:val="auto"/>
          <w:highlight w:val="none"/>
        </w:rPr>
      </w:pPr>
      <w:r>
        <w:rPr>
          <w:rFonts w:hint="eastAsia"/>
          <w:color w:val="auto"/>
          <w:highlight w:val="none"/>
        </w:rPr>
        <w:t xml:space="preserve"> 26.1.2 采购文件能够详细列明采购标的的技术、服务（工程）要求的，磋商结束后，磋商小组将要求所有实质性响应的供应商在规定时间内提交最后报价。</w:t>
      </w:r>
    </w:p>
    <w:p w14:paraId="1614EA81">
      <w:pPr>
        <w:spacing w:line="360" w:lineRule="auto"/>
        <w:ind w:firstLine="420"/>
        <w:rPr>
          <w:color w:val="auto"/>
          <w:highlight w:val="none"/>
        </w:rPr>
      </w:pPr>
      <w:r>
        <w:rPr>
          <w:rFonts w:hint="eastAsia"/>
          <w:color w:val="auto"/>
          <w:highlight w:val="none"/>
        </w:rPr>
        <w:t xml:space="preserve"> 采购文件不能详细列明采购标的的技术、服务（工程）要求，需经磋商由供应商提供最终设计方案或解决方案的，磋商结束后，磋商小组将按照少数服从多数的原则投票推荐3家以上供应商的设计方案或者解决方案，并要求其在规定时间内提交最后报价。</w:t>
      </w:r>
    </w:p>
    <w:p w14:paraId="7C398622">
      <w:pPr>
        <w:spacing w:line="360" w:lineRule="auto"/>
        <w:ind w:firstLine="420"/>
        <w:rPr>
          <w:color w:val="auto"/>
          <w:highlight w:val="none"/>
        </w:rPr>
      </w:pPr>
      <w:r>
        <w:rPr>
          <w:rFonts w:hint="eastAsia"/>
          <w:color w:val="auto"/>
          <w:highlight w:val="none"/>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15BF3591">
      <w:pPr>
        <w:spacing w:line="360" w:lineRule="auto"/>
        <w:ind w:firstLine="420"/>
        <w:rPr>
          <w:color w:val="auto"/>
          <w:highlight w:val="none"/>
        </w:rPr>
      </w:pPr>
      <w:r>
        <w:rPr>
          <w:rFonts w:hint="eastAsia"/>
          <w:color w:val="auto"/>
          <w:highlight w:val="none"/>
        </w:rPr>
        <w:t>26.1.3 供应商未在磋商小组规定的时间内完成最后报价的视为放弃磋商，其响应按无效响应处理。最后报价须加盖电子签章。已提交响应文件的供应商，在提交最后报价之前，可以根据磋商情况退出磋商。</w:t>
      </w:r>
    </w:p>
    <w:p w14:paraId="6A47F404">
      <w:pPr>
        <w:spacing w:line="360" w:lineRule="auto"/>
        <w:ind w:firstLine="420"/>
        <w:rPr>
          <w:color w:val="auto"/>
          <w:highlight w:val="none"/>
        </w:rPr>
      </w:pPr>
      <w:r>
        <w:rPr>
          <w:rFonts w:hint="eastAsia"/>
          <w:color w:val="auto"/>
          <w:highlight w:val="none"/>
        </w:rPr>
        <w:t>26.2 评审方法和标准</w:t>
      </w:r>
    </w:p>
    <w:p w14:paraId="55DCD355">
      <w:pPr>
        <w:spacing w:line="360" w:lineRule="auto"/>
        <w:ind w:firstLine="420"/>
        <w:rPr>
          <w:color w:val="auto"/>
          <w:highlight w:val="none"/>
        </w:rPr>
      </w:pPr>
      <w:r>
        <w:rPr>
          <w:rFonts w:hint="eastAsia"/>
          <w:color w:val="auto"/>
          <w:highlight w:val="none"/>
        </w:rPr>
        <w:t>26.2.1评审方法。经磋商确定最终采购需求和提交最后报价的供应商后，由磋商小组采用综合评分法对提交最后报价的供应商的响应文件和最后报价进行综合评分。</w:t>
      </w:r>
    </w:p>
    <w:p w14:paraId="036AEDE5">
      <w:pPr>
        <w:spacing w:line="360" w:lineRule="auto"/>
        <w:ind w:firstLine="420"/>
        <w:rPr>
          <w:color w:val="auto"/>
          <w:highlight w:val="none"/>
        </w:rPr>
      </w:pPr>
      <w:r>
        <w:rPr>
          <w:rFonts w:hint="eastAsia"/>
          <w:color w:val="auto"/>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C62F170">
      <w:pPr>
        <w:spacing w:line="360" w:lineRule="auto"/>
        <w:ind w:firstLine="422"/>
        <w:rPr>
          <w:b/>
          <w:bCs/>
          <w:color w:val="auto"/>
          <w:highlight w:val="none"/>
        </w:rPr>
      </w:pPr>
      <w:r>
        <w:rPr>
          <w:rFonts w:hint="eastAsia"/>
          <w:b/>
          <w:bCs/>
          <w:color w:val="auto"/>
          <w:highlight w:val="none"/>
        </w:rPr>
        <w:t>26.2.2评审标准</w:t>
      </w:r>
    </w:p>
    <w:p w14:paraId="419F41DA">
      <w:pPr>
        <w:spacing w:line="360" w:lineRule="auto"/>
        <w:ind w:firstLine="422"/>
        <w:rPr>
          <w:b/>
          <w:bCs/>
          <w:color w:val="auto"/>
          <w:highlight w:val="none"/>
        </w:rPr>
      </w:pPr>
      <w:r>
        <w:rPr>
          <w:rFonts w:hint="eastAsia"/>
          <w:b/>
          <w:bCs/>
          <w:color w:val="auto"/>
          <w:highlight w:val="none"/>
        </w:rPr>
        <w:t>见本采购文件第五章规定。</w:t>
      </w:r>
    </w:p>
    <w:p w14:paraId="036B589B">
      <w:pPr>
        <w:spacing w:line="360" w:lineRule="auto"/>
        <w:ind w:firstLine="420"/>
        <w:rPr>
          <w:b/>
          <w:bCs/>
          <w:color w:val="auto"/>
          <w:highlight w:val="none"/>
        </w:rPr>
      </w:pPr>
      <w:r>
        <w:rPr>
          <w:rFonts w:hint="eastAsia"/>
          <w:color w:val="auto"/>
          <w:highlight w:val="none"/>
        </w:rPr>
        <w:t>27、无效响应及采购活动终止的情况</w:t>
      </w:r>
    </w:p>
    <w:p w14:paraId="71D22F95">
      <w:pPr>
        <w:spacing w:line="360" w:lineRule="auto"/>
        <w:ind w:firstLine="420"/>
        <w:rPr>
          <w:bCs/>
          <w:color w:val="auto"/>
          <w:highlight w:val="none"/>
        </w:rPr>
      </w:pPr>
      <w:r>
        <w:rPr>
          <w:rFonts w:hint="eastAsia"/>
          <w:bCs/>
          <w:color w:val="auto"/>
          <w:highlight w:val="none"/>
        </w:rPr>
        <w:t>27.1无效响应条款</w:t>
      </w:r>
    </w:p>
    <w:p w14:paraId="24D59054">
      <w:pPr>
        <w:spacing w:line="360" w:lineRule="auto"/>
        <w:ind w:firstLine="420"/>
        <w:rPr>
          <w:bCs/>
          <w:color w:val="auto"/>
          <w:highlight w:val="none"/>
        </w:rPr>
      </w:pPr>
      <w:r>
        <w:rPr>
          <w:rFonts w:hint="eastAsia"/>
          <w:bCs/>
          <w:color w:val="auto"/>
          <w:highlight w:val="none"/>
        </w:rPr>
        <w:t>27.1.1 供应商未按照采购文件要求上传电子磋商响应文件的。</w:t>
      </w:r>
    </w:p>
    <w:p w14:paraId="4DA02725">
      <w:pPr>
        <w:spacing w:line="360" w:lineRule="auto"/>
        <w:ind w:firstLine="420"/>
        <w:rPr>
          <w:bCs/>
          <w:color w:val="auto"/>
          <w:highlight w:val="none"/>
        </w:rPr>
      </w:pPr>
      <w:r>
        <w:rPr>
          <w:rFonts w:hint="eastAsia"/>
          <w:bCs/>
          <w:color w:val="auto"/>
          <w:highlight w:val="none"/>
        </w:rPr>
        <w:t>27.1.2 供应商未成功解密电子磋商响应文件的。</w:t>
      </w:r>
    </w:p>
    <w:p w14:paraId="0BD5CF0C">
      <w:pPr>
        <w:spacing w:line="360" w:lineRule="auto"/>
        <w:ind w:firstLine="420"/>
        <w:rPr>
          <w:bCs/>
          <w:color w:val="auto"/>
          <w:highlight w:val="none"/>
        </w:rPr>
      </w:pPr>
      <w:r>
        <w:rPr>
          <w:rFonts w:hint="eastAsia"/>
          <w:bCs/>
          <w:color w:val="auto"/>
          <w:highlight w:val="none"/>
        </w:rPr>
        <w:t>27.1.3 供应商不具备采购文件中规定资格要求的。</w:t>
      </w:r>
    </w:p>
    <w:p w14:paraId="18642454">
      <w:pPr>
        <w:spacing w:line="360" w:lineRule="auto"/>
        <w:ind w:firstLine="420"/>
        <w:rPr>
          <w:bCs/>
          <w:i/>
          <w:color w:val="auto"/>
          <w:highlight w:val="none"/>
          <w:u w:val="single"/>
        </w:rPr>
      </w:pPr>
      <w:r>
        <w:rPr>
          <w:rFonts w:hint="eastAsia"/>
          <w:bCs/>
          <w:color w:val="auto"/>
          <w:highlight w:val="none"/>
        </w:rPr>
        <w:t>27.1.4 未通过符合性审查的。</w:t>
      </w:r>
    </w:p>
    <w:p w14:paraId="5C6E82D0">
      <w:pPr>
        <w:spacing w:line="360" w:lineRule="auto"/>
        <w:ind w:firstLine="420"/>
        <w:rPr>
          <w:bCs/>
          <w:i/>
          <w:color w:val="auto"/>
          <w:highlight w:val="none"/>
          <w:u w:val="single"/>
        </w:rPr>
      </w:pPr>
      <w:r>
        <w:rPr>
          <w:rFonts w:hint="eastAsia"/>
          <w:bCs/>
          <w:color w:val="auto"/>
          <w:highlight w:val="none"/>
        </w:rPr>
        <w:t>27.1.5 不符合采购文件中规定的其他实质性要求和条件的（</w:t>
      </w:r>
      <w:r>
        <w:rPr>
          <w:rFonts w:hint="eastAsia"/>
          <w:bCs/>
          <w:i/>
          <w:color w:val="auto"/>
          <w:highlight w:val="none"/>
          <w:u w:val="single"/>
        </w:rPr>
        <w:t>本采购文件中斜体且有下划线部分为实质性要求和条件）。</w:t>
      </w:r>
    </w:p>
    <w:p w14:paraId="7AC6C5A7">
      <w:pPr>
        <w:spacing w:line="360" w:lineRule="auto"/>
        <w:ind w:firstLine="420"/>
        <w:rPr>
          <w:bCs/>
          <w:color w:val="auto"/>
          <w:highlight w:val="none"/>
        </w:rPr>
      </w:pPr>
      <w:r>
        <w:rPr>
          <w:rFonts w:hint="eastAsia"/>
          <w:bCs/>
          <w:color w:val="auto"/>
          <w:highlight w:val="none"/>
        </w:rPr>
        <w:t xml:space="preserve">27.1.6 </w:t>
      </w:r>
      <w:r>
        <w:rPr>
          <w:rFonts w:hint="eastAsia"/>
          <w:color w:val="auto"/>
          <w:highlight w:val="none"/>
        </w:rPr>
        <w:t>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100304E2">
      <w:pPr>
        <w:spacing w:line="360" w:lineRule="auto"/>
        <w:ind w:firstLine="420"/>
        <w:rPr>
          <w:bCs/>
          <w:color w:val="auto"/>
          <w:highlight w:val="none"/>
        </w:rPr>
      </w:pPr>
      <w:r>
        <w:rPr>
          <w:rFonts w:hint="eastAsia"/>
          <w:bCs/>
          <w:color w:val="auto"/>
          <w:highlight w:val="none"/>
        </w:rPr>
        <w:t>27.1.7 本项目采购产品被财政部、国家发改委、生态环境部等列入“节能产品品目清单”、“环境标志产品品目清单”强制采购范围，而供应商所磋商产品不在强制采购范围内的。</w:t>
      </w:r>
    </w:p>
    <w:p w14:paraId="433C33FE">
      <w:pPr>
        <w:spacing w:line="360" w:lineRule="auto"/>
        <w:ind w:firstLine="420"/>
        <w:rPr>
          <w:bCs/>
          <w:color w:val="auto"/>
          <w:highlight w:val="none"/>
        </w:rPr>
      </w:pPr>
      <w:r>
        <w:rPr>
          <w:rFonts w:hint="eastAsia"/>
          <w:bCs/>
          <w:color w:val="auto"/>
          <w:highlight w:val="none"/>
        </w:rPr>
        <w:t>27.1.8 响应文件未按照采购文件要求加盖电子签章。</w:t>
      </w:r>
    </w:p>
    <w:p w14:paraId="7F7B3070">
      <w:pPr>
        <w:spacing w:line="360" w:lineRule="auto"/>
        <w:ind w:firstLine="420"/>
        <w:rPr>
          <w:bCs/>
          <w:color w:val="auto"/>
          <w:highlight w:val="none"/>
        </w:rPr>
      </w:pPr>
      <w:r>
        <w:rPr>
          <w:rFonts w:hint="eastAsia"/>
          <w:bCs/>
          <w:color w:val="auto"/>
          <w:highlight w:val="none"/>
        </w:rPr>
        <w:t>27.1.9 其他法律、法规及本采购文件规定的属无效响应的情形。</w:t>
      </w:r>
    </w:p>
    <w:p w14:paraId="21F0F301">
      <w:pPr>
        <w:spacing w:line="360" w:lineRule="auto"/>
        <w:ind w:firstLine="420"/>
        <w:rPr>
          <w:bCs/>
          <w:color w:val="auto"/>
          <w:highlight w:val="none"/>
        </w:rPr>
      </w:pPr>
      <w:r>
        <w:rPr>
          <w:rFonts w:hint="eastAsia"/>
          <w:bCs/>
          <w:color w:val="auto"/>
          <w:highlight w:val="none"/>
        </w:rPr>
        <w:t xml:space="preserve">27.2 </w:t>
      </w:r>
      <w:r>
        <w:rPr>
          <w:rFonts w:hint="eastAsia"/>
          <w:color w:val="auto"/>
          <w:highlight w:val="none"/>
        </w:rPr>
        <w:t>采购活动终止的情况</w:t>
      </w:r>
      <w:r>
        <w:rPr>
          <w:rFonts w:hint="eastAsia"/>
          <w:bCs/>
          <w:color w:val="auto"/>
          <w:highlight w:val="none"/>
        </w:rPr>
        <w:t>：</w:t>
      </w:r>
    </w:p>
    <w:p w14:paraId="22124C76">
      <w:pPr>
        <w:spacing w:line="360" w:lineRule="auto"/>
        <w:ind w:firstLine="420"/>
        <w:rPr>
          <w:bCs/>
          <w:color w:val="auto"/>
          <w:highlight w:val="none"/>
        </w:rPr>
      </w:pPr>
      <w:r>
        <w:rPr>
          <w:rFonts w:hint="eastAsia"/>
          <w:bCs/>
          <w:color w:val="auto"/>
          <w:highlight w:val="none"/>
        </w:rPr>
        <w:t>27.2.1 因情况变化，不再符合规定的竞争性磋商采购方式适用情形的；</w:t>
      </w:r>
    </w:p>
    <w:p w14:paraId="7F55F208">
      <w:pPr>
        <w:spacing w:line="360" w:lineRule="auto"/>
        <w:ind w:firstLine="420"/>
        <w:rPr>
          <w:bCs/>
          <w:color w:val="auto"/>
          <w:highlight w:val="none"/>
        </w:rPr>
      </w:pPr>
      <w:r>
        <w:rPr>
          <w:rFonts w:hint="eastAsia"/>
          <w:bCs/>
          <w:color w:val="auto"/>
          <w:highlight w:val="none"/>
        </w:rPr>
        <w:t>27.2.2 出现影响采购公正的违法、违规行为的；</w:t>
      </w:r>
    </w:p>
    <w:p w14:paraId="49FE725D">
      <w:pPr>
        <w:spacing w:line="360" w:lineRule="auto"/>
        <w:ind w:firstLine="420"/>
        <w:rPr>
          <w:bCs/>
          <w:color w:val="auto"/>
          <w:highlight w:val="none"/>
        </w:rPr>
      </w:pPr>
      <w:r>
        <w:rPr>
          <w:rFonts w:hint="eastAsia"/>
          <w:bCs/>
          <w:color w:val="auto"/>
          <w:highlight w:val="none"/>
        </w:rPr>
        <w:t xml:space="preserve">27.2.3 </w:t>
      </w:r>
      <w:r>
        <w:rPr>
          <w:rFonts w:hint="eastAsia"/>
          <w:color w:val="auto"/>
          <w:highlight w:val="none"/>
        </w:rPr>
        <w:t>除本磋商文件第26.1.2条第三款规定的情形外，在采购过程中符合要求的供应商或者报价未超过采购预算的供应商不足3家的。</w:t>
      </w:r>
    </w:p>
    <w:p w14:paraId="10A27ACF">
      <w:pPr>
        <w:spacing w:line="360" w:lineRule="auto"/>
        <w:ind w:firstLine="420"/>
        <w:rPr>
          <w:bCs/>
          <w:color w:val="auto"/>
          <w:highlight w:val="none"/>
        </w:rPr>
      </w:pPr>
      <w:r>
        <w:rPr>
          <w:rFonts w:hint="eastAsia"/>
          <w:bCs/>
          <w:color w:val="auto"/>
          <w:highlight w:val="none"/>
        </w:rPr>
        <w:t>27.2.4 因重大变故，采购任务取消的。</w:t>
      </w:r>
    </w:p>
    <w:p w14:paraId="3F5DA38D">
      <w:pPr>
        <w:spacing w:line="360" w:lineRule="auto"/>
        <w:ind w:firstLine="420"/>
        <w:rPr>
          <w:b/>
          <w:bCs/>
          <w:color w:val="auto"/>
          <w:highlight w:val="none"/>
        </w:rPr>
      </w:pPr>
      <w:r>
        <w:rPr>
          <w:rFonts w:hint="eastAsia"/>
          <w:color w:val="auto"/>
          <w:highlight w:val="none"/>
        </w:rPr>
        <w:t>28、确定成交单位</w:t>
      </w:r>
    </w:p>
    <w:p w14:paraId="270E63AB">
      <w:pPr>
        <w:spacing w:line="360" w:lineRule="auto"/>
        <w:ind w:firstLine="420"/>
        <w:rPr>
          <w:color w:val="auto"/>
          <w:highlight w:val="none"/>
        </w:rPr>
      </w:pPr>
      <w:r>
        <w:rPr>
          <w:rFonts w:hint="eastAsia"/>
          <w:color w:val="auto"/>
          <w:highlight w:val="none"/>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14:paraId="68057776">
      <w:pPr>
        <w:spacing w:line="360" w:lineRule="auto"/>
        <w:ind w:firstLine="420"/>
        <w:rPr>
          <w:color w:val="auto"/>
          <w:highlight w:val="none"/>
        </w:rPr>
      </w:pPr>
      <w:r>
        <w:rPr>
          <w:rFonts w:hint="eastAsia"/>
          <w:color w:val="auto"/>
          <w:highlight w:val="none"/>
        </w:rPr>
        <w:t>28.2 采购人应根据磋商推荐的成交候选人，按照排序由高到低的推荐确定成交供应商。</w:t>
      </w:r>
    </w:p>
    <w:p w14:paraId="56C0C157">
      <w:pPr>
        <w:spacing w:line="360" w:lineRule="auto"/>
        <w:ind w:firstLine="420"/>
        <w:rPr>
          <w:color w:val="auto"/>
          <w:highlight w:val="none"/>
        </w:rPr>
      </w:pPr>
      <w:r>
        <w:rPr>
          <w:rFonts w:hint="eastAsia"/>
          <w:color w:val="auto"/>
          <w:highlight w:val="none"/>
        </w:rPr>
        <w:t>28.3 代理机构将在“扬州市政府采购网”、“江苏政府采购网”发布成交公告，公告期限为1个工作日。</w:t>
      </w:r>
    </w:p>
    <w:p w14:paraId="00B56CDA">
      <w:pPr>
        <w:spacing w:line="360" w:lineRule="auto"/>
        <w:ind w:firstLine="420"/>
        <w:rPr>
          <w:color w:val="auto"/>
          <w:highlight w:val="none"/>
        </w:rPr>
      </w:pPr>
      <w:r>
        <w:rPr>
          <w:rFonts w:hint="eastAsia"/>
          <w:color w:val="auto"/>
          <w:highlight w:val="none"/>
        </w:rPr>
        <w:t>28.4 若有充分证据证明，成交供应商出现下列情况之一的，一经查实，将被取消成交资格：</w:t>
      </w:r>
    </w:p>
    <w:p w14:paraId="6FAF7CE1">
      <w:pPr>
        <w:spacing w:line="360" w:lineRule="auto"/>
        <w:ind w:firstLine="420"/>
        <w:rPr>
          <w:color w:val="auto"/>
          <w:highlight w:val="none"/>
        </w:rPr>
      </w:pPr>
      <w:r>
        <w:rPr>
          <w:rFonts w:hint="eastAsia"/>
          <w:color w:val="auto"/>
          <w:highlight w:val="none"/>
        </w:rPr>
        <w:t>28.4.1 提供虚假材料谋取成交的；</w:t>
      </w:r>
    </w:p>
    <w:p w14:paraId="6DE108F5">
      <w:pPr>
        <w:spacing w:line="360" w:lineRule="auto"/>
        <w:ind w:firstLine="420"/>
        <w:rPr>
          <w:color w:val="auto"/>
          <w:highlight w:val="none"/>
        </w:rPr>
      </w:pPr>
      <w:r>
        <w:rPr>
          <w:rFonts w:hint="eastAsia"/>
          <w:color w:val="auto"/>
          <w:highlight w:val="none"/>
        </w:rPr>
        <w:t>28.4.2 向采购人、代理机构行贿或者提供其他不正当利益的；</w:t>
      </w:r>
    </w:p>
    <w:p w14:paraId="3F5D85ED">
      <w:pPr>
        <w:spacing w:line="360" w:lineRule="auto"/>
        <w:ind w:firstLine="420"/>
        <w:rPr>
          <w:color w:val="auto"/>
          <w:highlight w:val="none"/>
        </w:rPr>
      </w:pPr>
      <w:r>
        <w:rPr>
          <w:rFonts w:hint="eastAsia"/>
          <w:color w:val="auto"/>
          <w:highlight w:val="none"/>
        </w:rPr>
        <w:t>28.4.3 恶意竞争，最终总报价明显低于其自身合理成本且又无法提供证明的；</w:t>
      </w:r>
    </w:p>
    <w:p w14:paraId="56095B3B">
      <w:pPr>
        <w:spacing w:line="360" w:lineRule="auto"/>
        <w:ind w:firstLine="420"/>
        <w:rPr>
          <w:color w:val="auto"/>
          <w:highlight w:val="none"/>
        </w:rPr>
      </w:pPr>
      <w:r>
        <w:rPr>
          <w:rFonts w:hint="eastAsia"/>
          <w:color w:val="auto"/>
          <w:highlight w:val="none"/>
        </w:rPr>
        <w:t>28.4.4 属于本文件规定的无效条件，但在评审过程中又未被磋商小组发现的；</w:t>
      </w:r>
    </w:p>
    <w:p w14:paraId="16B61B76">
      <w:pPr>
        <w:spacing w:line="360" w:lineRule="auto"/>
        <w:ind w:firstLine="420"/>
        <w:rPr>
          <w:color w:val="auto"/>
          <w:highlight w:val="none"/>
        </w:rPr>
      </w:pPr>
      <w:r>
        <w:rPr>
          <w:rFonts w:hint="eastAsia"/>
          <w:color w:val="auto"/>
          <w:highlight w:val="none"/>
        </w:rPr>
        <w:t>28.4.5 与采购人或者其他供应商恶意串通的；</w:t>
      </w:r>
    </w:p>
    <w:p w14:paraId="552F2986">
      <w:pPr>
        <w:spacing w:line="360" w:lineRule="auto"/>
        <w:ind w:firstLine="420"/>
        <w:rPr>
          <w:color w:val="auto"/>
          <w:highlight w:val="none"/>
        </w:rPr>
      </w:pPr>
      <w:r>
        <w:rPr>
          <w:rFonts w:hint="eastAsia"/>
          <w:color w:val="auto"/>
          <w:highlight w:val="none"/>
        </w:rPr>
        <w:t>28.4.6 采取不正当手段诋毁、排挤其他供应商的；</w:t>
      </w:r>
    </w:p>
    <w:p w14:paraId="6178DD8D">
      <w:pPr>
        <w:spacing w:line="360" w:lineRule="auto"/>
        <w:ind w:firstLine="420"/>
        <w:rPr>
          <w:color w:val="auto"/>
          <w:highlight w:val="none"/>
        </w:rPr>
      </w:pPr>
      <w:r>
        <w:rPr>
          <w:rFonts w:hint="eastAsia"/>
          <w:color w:val="auto"/>
          <w:highlight w:val="none"/>
        </w:rPr>
        <w:t>28.4.7 不符合法律、法规的规定的。</w:t>
      </w:r>
    </w:p>
    <w:p w14:paraId="476A937B">
      <w:pPr>
        <w:spacing w:line="360" w:lineRule="auto"/>
        <w:ind w:firstLine="420"/>
        <w:rPr>
          <w:color w:val="auto"/>
          <w:highlight w:val="none"/>
        </w:rPr>
      </w:pPr>
      <w:r>
        <w:rPr>
          <w:rFonts w:hint="eastAsia"/>
          <w:color w:val="auto"/>
          <w:highlight w:val="none"/>
        </w:rPr>
        <w:t>29、质疑处理</w:t>
      </w:r>
    </w:p>
    <w:p w14:paraId="2BE61CB9">
      <w:pPr>
        <w:spacing w:line="360" w:lineRule="auto"/>
        <w:ind w:firstLine="420"/>
        <w:rPr>
          <w:color w:val="auto"/>
          <w:highlight w:val="none"/>
        </w:rPr>
      </w:pPr>
      <w:r>
        <w:rPr>
          <w:rFonts w:hint="eastAsia"/>
          <w:color w:val="auto"/>
          <w:highlight w:val="none"/>
        </w:rPr>
        <w:t>29.1提出质疑的供应商应当是参与所质疑项目采购活动的供应商。潜在供应商依法获取其可质疑的采购文件的，可以对采购文件提出质疑。</w:t>
      </w:r>
    </w:p>
    <w:p w14:paraId="028947E2">
      <w:pPr>
        <w:spacing w:line="360" w:lineRule="auto"/>
        <w:ind w:firstLine="420"/>
        <w:rPr>
          <w:color w:val="auto"/>
          <w:highlight w:val="none"/>
        </w:rPr>
      </w:pPr>
      <w:r>
        <w:rPr>
          <w:rFonts w:hint="eastAsia"/>
          <w:color w:val="auto"/>
          <w:highlight w:val="none"/>
        </w:rPr>
        <w:t>对项目需求部分的质疑，潜在供应商应向采购人提出，由采购人负责答复。</w:t>
      </w:r>
    </w:p>
    <w:p w14:paraId="72F0588A">
      <w:pPr>
        <w:spacing w:line="360" w:lineRule="auto"/>
        <w:ind w:firstLine="420"/>
        <w:rPr>
          <w:color w:val="auto"/>
          <w:highlight w:val="none"/>
        </w:rPr>
      </w:pPr>
      <w:r>
        <w:rPr>
          <w:rFonts w:hint="eastAsia"/>
          <w:color w:val="auto"/>
          <w:highlight w:val="none"/>
        </w:rPr>
        <w:t>29.2供应商认为采购文件、采购过程和中标或成交结果使自己的权益受到损害的，可以在知道或应知其权益受到损害之日起7个工作日内，以书面形式向采购人或代理机构提出质疑。</w:t>
      </w:r>
    </w:p>
    <w:p w14:paraId="19440282">
      <w:pPr>
        <w:spacing w:line="360" w:lineRule="auto"/>
        <w:ind w:firstLine="420"/>
        <w:rPr>
          <w:color w:val="auto"/>
          <w:highlight w:val="none"/>
        </w:rPr>
      </w:pPr>
      <w:r>
        <w:rPr>
          <w:rFonts w:hint="eastAsia"/>
          <w:color w:val="auto"/>
          <w:highlight w:val="none"/>
        </w:rPr>
        <w:t>29.2.1对采购文件提出质疑的，应当在获取采购文件之日或者采购文件公告期限届满之日起7个工作日内提出。</w:t>
      </w:r>
    </w:p>
    <w:p w14:paraId="65C74ECC">
      <w:pPr>
        <w:spacing w:line="360" w:lineRule="auto"/>
        <w:ind w:firstLine="420"/>
        <w:rPr>
          <w:color w:val="auto"/>
          <w:highlight w:val="none"/>
        </w:rPr>
      </w:pPr>
      <w:r>
        <w:rPr>
          <w:rFonts w:hint="eastAsia"/>
          <w:color w:val="auto"/>
          <w:highlight w:val="none"/>
        </w:rPr>
        <w:t>29.2.2对采购过程提出质疑的，为各采购程序环节结束之日起7个工作日内提出。</w:t>
      </w:r>
    </w:p>
    <w:p w14:paraId="765D2D2A">
      <w:pPr>
        <w:spacing w:line="360" w:lineRule="auto"/>
        <w:ind w:firstLine="420"/>
        <w:rPr>
          <w:color w:val="auto"/>
          <w:highlight w:val="none"/>
        </w:rPr>
      </w:pPr>
      <w:r>
        <w:rPr>
          <w:rFonts w:hint="eastAsia"/>
          <w:color w:val="auto"/>
          <w:highlight w:val="none"/>
        </w:rPr>
        <w:t>29.2.3对成交结果提出质疑的，为成交结果公告期限届满之日起7个工作日内提出。</w:t>
      </w:r>
    </w:p>
    <w:p w14:paraId="3AA96A5F">
      <w:pPr>
        <w:spacing w:line="360" w:lineRule="auto"/>
        <w:ind w:firstLine="420"/>
        <w:rPr>
          <w:color w:val="auto"/>
          <w:highlight w:val="none"/>
        </w:rPr>
      </w:pPr>
      <w:r>
        <w:rPr>
          <w:rFonts w:hint="eastAsia"/>
          <w:color w:val="auto"/>
          <w:highlight w:val="none"/>
        </w:rPr>
        <w:t>29.3供应商应在法定质疑期内一次性提出针对同一采购程序环节的质疑。供应商如在法定期限内对同一采购程序环节提出多次质疑的，代理机构、采购人将只对供应商第一次质疑作出答复。</w:t>
      </w:r>
    </w:p>
    <w:p w14:paraId="198D0F48">
      <w:pPr>
        <w:spacing w:line="360" w:lineRule="auto"/>
        <w:ind w:firstLine="420"/>
        <w:rPr>
          <w:color w:val="auto"/>
          <w:highlight w:val="none"/>
        </w:rPr>
      </w:pPr>
      <w:r>
        <w:rPr>
          <w:rFonts w:hint="eastAsia"/>
          <w:color w:val="auto"/>
          <w:highlight w:val="none"/>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14:paraId="03B3932F">
      <w:pPr>
        <w:spacing w:line="360" w:lineRule="auto"/>
        <w:ind w:firstLine="420"/>
        <w:rPr>
          <w:color w:val="auto"/>
          <w:highlight w:val="none"/>
        </w:rPr>
      </w:pPr>
      <w:r>
        <w:rPr>
          <w:rFonts w:hint="eastAsia"/>
          <w:color w:val="auto"/>
          <w:highlight w:val="none"/>
        </w:rPr>
        <w:t>29.5 代理机构及采购人只接收以纸质原件形式送达的质疑。</w:t>
      </w:r>
    </w:p>
    <w:p w14:paraId="1E9FB24A">
      <w:pPr>
        <w:spacing w:line="360" w:lineRule="auto"/>
        <w:ind w:firstLine="420"/>
        <w:rPr>
          <w:color w:val="auto"/>
          <w:highlight w:val="none"/>
        </w:rPr>
      </w:pPr>
      <w:r>
        <w:rPr>
          <w:rFonts w:hint="eastAsia"/>
          <w:color w:val="auto"/>
          <w:highlight w:val="none"/>
        </w:rPr>
        <w:t>采购人质疑接收人及联系方式见采购文件第一章。</w:t>
      </w:r>
    </w:p>
    <w:p w14:paraId="599A105E">
      <w:pPr>
        <w:spacing w:line="360" w:lineRule="auto"/>
        <w:ind w:firstLine="420"/>
        <w:rPr>
          <w:color w:val="auto"/>
          <w:highlight w:val="none"/>
        </w:rPr>
      </w:pPr>
      <w:r>
        <w:rPr>
          <w:rFonts w:hint="eastAsia"/>
          <w:color w:val="auto"/>
          <w:highlight w:val="none"/>
        </w:rPr>
        <w:t>29.6代理机构收到质疑申请后，将对质疑的形式和内容进行审查，如质疑内容、格式不符合规定，代理机构将告知质疑人进行补正。</w:t>
      </w:r>
    </w:p>
    <w:p w14:paraId="7F37D96A">
      <w:pPr>
        <w:spacing w:line="360" w:lineRule="auto"/>
        <w:ind w:firstLine="420"/>
        <w:rPr>
          <w:color w:val="auto"/>
          <w:highlight w:val="none"/>
        </w:rPr>
      </w:pPr>
      <w:r>
        <w:rPr>
          <w:rFonts w:hint="eastAsia"/>
          <w:color w:val="auto"/>
          <w:highlight w:val="none"/>
        </w:rPr>
        <w:t>29.7质疑人应当在法定质疑期限内进行补正并重新提交质疑函。</w:t>
      </w:r>
    </w:p>
    <w:p w14:paraId="4689A450">
      <w:pPr>
        <w:spacing w:line="360" w:lineRule="auto"/>
        <w:ind w:firstLine="420"/>
        <w:rPr>
          <w:color w:val="auto"/>
          <w:highlight w:val="none"/>
        </w:rPr>
      </w:pPr>
      <w:r>
        <w:rPr>
          <w:rFonts w:hint="eastAsia"/>
          <w:color w:val="auto"/>
          <w:highlight w:val="none"/>
        </w:rPr>
        <w:t>29.8 以下情形的质疑不予受理</w:t>
      </w:r>
    </w:p>
    <w:p w14:paraId="24D77ED3">
      <w:pPr>
        <w:spacing w:line="360" w:lineRule="auto"/>
        <w:ind w:firstLine="420"/>
        <w:rPr>
          <w:color w:val="auto"/>
          <w:highlight w:val="none"/>
        </w:rPr>
      </w:pPr>
      <w:r>
        <w:rPr>
          <w:rFonts w:hint="eastAsia"/>
          <w:color w:val="auto"/>
          <w:highlight w:val="none"/>
        </w:rPr>
        <w:t>29.8.1 内容不符合《政府采购质疑和投诉办法》第十二条规定的质疑。</w:t>
      </w:r>
    </w:p>
    <w:p w14:paraId="06BA023A">
      <w:pPr>
        <w:spacing w:line="360" w:lineRule="auto"/>
        <w:ind w:firstLine="420"/>
        <w:rPr>
          <w:color w:val="auto"/>
          <w:highlight w:val="none"/>
        </w:rPr>
      </w:pPr>
      <w:r>
        <w:rPr>
          <w:rFonts w:hint="eastAsia"/>
          <w:color w:val="auto"/>
          <w:highlight w:val="none"/>
        </w:rPr>
        <w:t>29.8.2 超出政府采购法定期限的质疑。</w:t>
      </w:r>
    </w:p>
    <w:p w14:paraId="3523A276">
      <w:pPr>
        <w:spacing w:line="360" w:lineRule="auto"/>
        <w:ind w:firstLine="420"/>
        <w:rPr>
          <w:color w:val="auto"/>
          <w:highlight w:val="none"/>
        </w:rPr>
      </w:pPr>
      <w:r>
        <w:rPr>
          <w:rFonts w:hint="eastAsia"/>
          <w:color w:val="auto"/>
          <w:highlight w:val="none"/>
        </w:rPr>
        <w:t>29.8.3 以传真、电子邮件等方式递交的非原件形式的质疑。</w:t>
      </w:r>
    </w:p>
    <w:p w14:paraId="039EF404">
      <w:pPr>
        <w:spacing w:line="360" w:lineRule="auto"/>
        <w:ind w:firstLine="420"/>
        <w:rPr>
          <w:color w:val="auto"/>
          <w:highlight w:val="none"/>
        </w:rPr>
      </w:pPr>
      <w:r>
        <w:rPr>
          <w:rFonts w:hint="eastAsia"/>
          <w:color w:val="auto"/>
          <w:highlight w:val="none"/>
        </w:rPr>
        <w:t>29.8.4 未参加磋商活动的供应商或在磋商活动中自身权益未受到损害的供应商所提出的质疑。</w:t>
      </w:r>
    </w:p>
    <w:p w14:paraId="6DDFD2D7">
      <w:pPr>
        <w:spacing w:line="360" w:lineRule="auto"/>
        <w:ind w:firstLine="420"/>
        <w:rPr>
          <w:color w:val="auto"/>
          <w:highlight w:val="none"/>
        </w:rPr>
      </w:pPr>
      <w:r>
        <w:rPr>
          <w:rFonts w:hint="eastAsia"/>
          <w:color w:val="auto"/>
          <w:highlight w:val="none"/>
        </w:rPr>
        <w:t>29.8.5供应商组成联合体参加磋商，联合体中任何一方或多方未按要求签字、盖章、加盖公章的质疑。</w:t>
      </w:r>
    </w:p>
    <w:p w14:paraId="159AD82A">
      <w:pPr>
        <w:spacing w:line="360" w:lineRule="auto"/>
        <w:ind w:firstLine="420"/>
        <w:rPr>
          <w:color w:val="auto"/>
          <w:highlight w:val="none"/>
        </w:rPr>
      </w:pPr>
      <w:r>
        <w:rPr>
          <w:rFonts w:hint="eastAsia"/>
          <w:color w:val="auto"/>
          <w:highlight w:val="none"/>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14:paraId="76ADE8CE">
      <w:pPr>
        <w:spacing w:line="360" w:lineRule="auto"/>
        <w:ind w:firstLine="420"/>
        <w:rPr>
          <w:color w:val="auto"/>
          <w:highlight w:val="none"/>
        </w:rPr>
      </w:pPr>
      <w:r>
        <w:rPr>
          <w:rFonts w:hint="eastAsia"/>
          <w:color w:val="auto"/>
          <w:highlight w:val="none"/>
        </w:rPr>
        <w:t>29.10代理机构应当在收到供应商的书面质疑后7个工作日内作出答复，并以书面形式通知质疑供应商和其他有关供应商，但答复的内容不得涉及商业秘密。</w:t>
      </w:r>
    </w:p>
    <w:p w14:paraId="77B5008D">
      <w:pPr>
        <w:spacing w:line="360" w:lineRule="auto"/>
        <w:ind w:firstLine="420"/>
        <w:rPr>
          <w:b/>
          <w:bCs/>
          <w:color w:val="auto"/>
          <w:highlight w:val="none"/>
        </w:rPr>
      </w:pPr>
      <w:r>
        <w:rPr>
          <w:rFonts w:hint="eastAsia"/>
          <w:color w:val="auto"/>
          <w:highlight w:val="none"/>
        </w:rPr>
        <w:t>30、成交通知书</w:t>
      </w:r>
    </w:p>
    <w:p w14:paraId="40687049">
      <w:pPr>
        <w:spacing w:line="360" w:lineRule="auto"/>
        <w:ind w:firstLine="420"/>
        <w:rPr>
          <w:color w:val="auto"/>
          <w:highlight w:val="none"/>
        </w:rPr>
      </w:pPr>
      <w:r>
        <w:rPr>
          <w:rFonts w:hint="eastAsia"/>
          <w:color w:val="auto"/>
          <w:highlight w:val="none"/>
        </w:rPr>
        <w:t>30.l成交结果确定后，代理机构将向成交供应商发出成通知书。</w:t>
      </w:r>
    </w:p>
    <w:p w14:paraId="46B32A7A">
      <w:pPr>
        <w:spacing w:line="360" w:lineRule="auto"/>
        <w:ind w:firstLine="420"/>
        <w:rPr>
          <w:color w:val="auto"/>
          <w:highlight w:val="none"/>
        </w:rPr>
      </w:pPr>
      <w:r>
        <w:rPr>
          <w:rFonts w:hint="eastAsia"/>
          <w:color w:val="auto"/>
          <w:highlight w:val="none"/>
        </w:rPr>
        <w:t>30.2 成交供应商可在“政府采购交易管理系统（苏采云）”成交通知书下载模块中自行下载成交通知书。</w:t>
      </w:r>
    </w:p>
    <w:p w14:paraId="036F613D">
      <w:pPr>
        <w:spacing w:line="360" w:lineRule="auto"/>
        <w:ind w:firstLine="420"/>
        <w:rPr>
          <w:color w:val="auto"/>
          <w:highlight w:val="none"/>
        </w:rPr>
      </w:pPr>
      <w:r>
        <w:rPr>
          <w:rFonts w:hint="eastAsia"/>
          <w:color w:val="auto"/>
          <w:highlight w:val="none"/>
        </w:rPr>
        <w:t>30.3成交通知书将是合同的一个组成部分。对采购人和成交供应商均具有法律效力。成交通知书发出后，采购人改变成交结果的，或者成交供应商放弃成交项目的，应当依法承担法律责任。</w:t>
      </w:r>
    </w:p>
    <w:p w14:paraId="7FD6D86C">
      <w:pPr>
        <w:spacing w:line="360" w:lineRule="auto"/>
        <w:ind w:firstLine="420"/>
        <w:rPr>
          <w:color w:val="auto"/>
          <w:highlight w:val="none"/>
        </w:rPr>
      </w:pPr>
      <w:r>
        <w:rPr>
          <w:rFonts w:hint="eastAsia"/>
          <w:color w:val="auto"/>
          <w:highlight w:val="none"/>
        </w:rPr>
        <w:t>31、签订合同</w:t>
      </w:r>
    </w:p>
    <w:p w14:paraId="79813CC3">
      <w:pPr>
        <w:spacing w:line="360" w:lineRule="auto"/>
        <w:ind w:firstLine="420"/>
        <w:rPr>
          <w:color w:val="auto"/>
          <w:highlight w:val="none"/>
        </w:rPr>
      </w:pPr>
      <w:r>
        <w:rPr>
          <w:rFonts w:hint="eastAsia"/>
          <w:color w:val="auto"/>
          <w:highlight w:val="none"/>
        </w:rPr>
        <w:t>31.l成交供应商应在成交通知书发出之日起三十日内，按照采购文件确定的事项与采购人签订政府采购合同。</w:t>
      </w:r>
    </w:p>
    <w:p w14:paraId="5CB9A412">
      <w:pPr>
        <w:spacing w:line="360" w:lineRule="auto"/>
        <w:ind w:firstLine="420"/>
        <w:rPr>
          <w:color w:val="auto"/>
          <w:highlight w:val="none"/>
        </w:rPr>
      </w:pPr>
      <w:r>
        <w:rPr>
          <w:rFonts w:hint="eastAsia"/>
          <w:color w:val="auto"/>
          <w:highlight w:val="none"/>
        </w:rPr>
        <w:t>31.2采购文件、成交供应商的响应文件及磋商过程中有关澄清、承诺文件均应作为合同附件。</w:t>
      </w:r>
    </w:p>
    <w:p w14:paraId="0ABBB9D1">
      <w:pPr>
        <w:spacing w:line="360" w:lineRule="auto"/>
        <w:ind w:firstLine="420"/>
        <w:rPr>
          <w:color w:val="auto"/>
          <w:highlight w:val="none"/>
        </w:rPr>
      </w:pPr>
      <w:r>
        <w:rPr>
          <w:rFonts w:hint="eastAsia" w:ascii="宋体" w:hAnsi="宋体"/>
          <w:bCs/>
          <w:color w:val="auto"/>
          <w:szCs w:val="21"/>
          <w:highlight w:val="none"/>
        </w:rPr>
        <w:t>31.3 合同在“政府采购管理交易系统（苏采云）”中签订，签订合同后，</w:t>
      </w:r>
      <w:r>
        <w:rPr>
          <w:rFonts w:hint="eastAsia" w:ascii="宋体" w:hAnsi="宋体"/>
          <w:bCs/>
          <w:i/>
          <w:iCs/>
          <w:color w:val="auto"/>
          <w:szCs w:val="21"/>
          <w:highlight w:val="none"/>
          <w:u w:val="single"/>
        </w:rPr>
        <w:t>成交供应商不得将货物或服务（工程）及其他服务（工程）进行转包</w:t>
      </w:r>
      <w:r>
        <w:rPr>
          <w:rFonts w:hint="eastAsia" w:ascii="宋体" w:hAnsi="宋体"/>
          <w:bCs/>
          <w:color w:val="auto"/>
          <w:szCs w:val="21"/>
          <w:highlight w:val="none"/>
        </w:rPr>
        <w:t>。未经采购人同意，成交供应商也不得采用分包的形式履行合同，否则采购人有权终止合同，成交供应商的履约保证金将不予退还。转包或分包造成采购人损失的，成交供应商应承担赔偿责任。</w:t>
      </w:r>
    </w:p>
    <w:p w14:paraId="49796E9B">
      <w:pPr>
        <w:spacing w:line="360" w:lineRule="auto"/>
        <w:ind w:firstLine="420"/>
        <w:rPr>
          <w:color w:val="auto"/>
          <w:highlight w:val="none"/>
        </w:rPr>
      </w:pPr>
      <w:r>
        <w:rPr>
          <w:rFonts w:hint="eastAsia"/>
          <w:color w:val="auto"/>
          <w:highlight w:val="none"/>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14:paraId="1477E2D2">
      <w:pPr>
        <w:spacing w:line="360" w:lineRule="auto"/>
        <w:ind w:firstLine="422"/>
        <w:rPr>
          <w:b/>
          <w:bCs/>
          <w:color w:val="auto"/>
          <w:highlight w:val="none"/>
        </w:rPr>
      </w:pPr>
      <w:r>
        <w:rPr>
          <w:rFonts w:hint="eastAsia"/>
          <w:b/>
          <w:bCs/>
          <w:color w:val="auto"/>
          <w:highlight w:val="none"/>
        </w:rPr>
        <w:t>32、其他</w:t>
      </w:r>
    </w:p>
    <w:p w14:paraId="1754537D">
      <w:pPr>
        <w:spacing w:line="360" w:lineRule="auto"/>
        <w:ind w:firstLine="420"/>
        <w:rPr>
          <w:color w:val="auto"/>
          <w:highlight w:val="none"/>
        </w:rPr>
      </w:pPr>
      <w:r>
        <w:rPr>
          <w:color w:val="auto"/>
          <w:highlight w:val="none"/>
        </w:rPr>
        <w:t>3</w:t>
      </w:r>
      <w:r>
        <w:rPr>
          <w:rFonts w:hint="eastAsia"/>
          <w:color w:val="auto"/>
          <w:highlight w:val="none"/>
        </w:rPr>
        <w:t>2</w:t>
      </w:r>
      <w:r>
        <w:rPr>
          <w:color w:val="auto"/>
          <w:highlight w:val="none"/>
        </w:rPr>
        <w:t xml:space="preserve">.1 </w:t>
      </w:r>
      <w:r>
        <w:rPr>
          <w:rFonts w:hint="eastAsia"/>
          <w:color w:val="auto"/>
          <w:highlight w:val="none"/>
        </w:rPr>
        <w:t>依据《政府采购促进中小企业发展管理办法》享受享受扶持政策获得政府采购合同的，小微企业不得将合同分包给大中型企业，中型企业不得将合同分包给大型企业。</w:t>
      </w:r>
    </w:p>
    <w:p w14:paraId="58934238">
      <w:pPr>
        <w:spacing w:line="360" w:lineRule="auto"/>
        <w:ind w:firstLine="420"/>
        <w:rPr>
          <w:color w:val="auto"/>
          <w:highlight w:val="none"/>
        </w:rPr>
      </w:pPr>
      <w:r>
        <w:rPr>
          <w:color w:val="auto"/>
          <w:highlight w:val="none"/>
        </w:rPr>
        <w:br w:type="page" w:clear="all"/>
      </w:r>
    </w:p>
    <w:p w14:paraId="0B99F6C6">
      <w:pPr>
        <w:pStyle w:val="3"/>
        <w:spacing w:before="0" w:after="0"/>
        <w:ind w:firstLine="883"/>
        <w:jc w:val="center"/>
        <w:rPr>
          <w:color w:val="auto"/>
          <w:highlight w:val="yellow"/>
        </w:rPr>
      </w:pPr>
      <w:bookmarkStart w:id="21" w:name="_Toc109304973"/>
      <w:r>
        <w:rPr>
          <w:rFonts w:hint="eastAsia"/>
          <w:color w:val="auto"/>
          <w:highlight w:val="yellow"/>
        </w:rPr>
        <w:t>第三章 合同条款及格式</w:t>
      </w:r>
      <w:bookmarkEnd w:id="21"/>
    </w:p>
    <w:p w14:paraId="2C35623F">
      <w:pPr>
        <w:pStyle w:val="20"/>
        <w:spacing w:before="120" w:after="120" w:line="360" w:lineRule="auto"/>
        <w:ind w:firstLine="400"/>
        <w:rPr>
          <w:rFonts w:hint="eastAsia" w:hAnsi="宋体"/>
          <w:color w:val="auto"/>
          <w:highlight w:val="none"/>
        </w:rPr>
      </w:pPr>
      <w:bookmarkStart w:id="22" w:name="_Toc109304974"/>
      <w:r>
        <w:rPr>
          <w:rFonts w:hint="eastAsia" w:hAnsi="宋体"/>
          <w:color w:val="auto"/>
          <w:highlight w:val="none"/>
        </w:rPr>
        <w:t>以下为成交后签定本项目合同的通用条款，成交供应商不得提出实质性的修改，关于专用条款将由采购人与成交供应商结合本项目具体情况协商后签订。</w:t>
      </w:r>
    </w:p>
    <w:p w14:paraId="3ADD3171">
      <w:pPr>
        <w:keepNext w:val="0"/>
        <w:keepLines w:val="0"/>
        <w:pageBreakBefore w:val="0"/>
        <w:widowControl w:val="0"/>
        <w:kinsoku/>
        <w:wordWrap/>
        <w:overflowPunct/>
        <w:topLinePunct w:val="0"/>
        <w:autoSpaceDE/>
        <w:autoSpaceDN/>
        <w:bidi w:val="0"/>
        <w:adjustRightInd/>
        <w:snapToGrid/>
        <w:spacing w:line="360" w:lineRule="auto"/>
        <w:ind w:left="0" w:firstLine="602" w:firstLineChars="200"/>
        <w:jc w:val="center"/>
        <w:textAlignment w:val="auto"/>
        <w:outlineLvl w:val="0"/>
        <w:rPr>
          <w:rFonts w:ascii="宋体" w:hAnsi="宋体"/>
          <w:b/>
          <w:bCs/>
          <w:sz w:val="30"/>
          <w:szCs w:val="20"/>
        </w:rPr>
      </w:pPr>
      <w:bookmarkStart w:id="23" w:name="_Toc32004"/>
      <w:r>
        <w:rPr>
          <w:rFonts w:hint="eastAsia" w:ascii="宋体" w:hAnsi="宋体"/>
          <w:b/>
          <w:sz w:val="30"/>
        </w:rPr>
        <w:t>江苏省政府采购合同（服务）（合同编号）</w:t>
      </w:r>
    </w:p>
    <w:p w14:paraId="67C719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sz w:val="24"/>
          <w:szCs w:val="24"/>
          <w:highlight w:val="yellow"/>
          <w:u w:val="single"/>
        </w:rPr>
      </w:pPr>
      <w:r>
        <w:rPr>
          <w:rFonts w:hint="eastAsia" w:ascii="宋体" w:hAnsi="宋体" w:cs="宋体"/>
          <w:sz w:val="24"/>
          <w:szCs w:val="24"/>
          <w:highlight w:val="yellow"/>
        </w:rPr>
        <w:t>项目名称：</w:t>
      </w:r>
      <w:r>
        <w:rPr>
          <w:rFonts w:hint="eastAsia" w:ascii="宋体" w:hAnsi="宋体"/>
          <w:sz w:val="24"/>
          <w:szCs w:val="24"/>
          <w:highlight w:val="yellow"/>
          <w:u w:val="single"/>
          <w:lang w:val="en-US" w:eastAsia="zh-CN"/>
        </w:rPr>
        <w:t xml:space="preserve">                               </w:t>
      </w:r>
      <w:r>
        <w:rPr>
          <w:rFonts w:hint="eastAsia" w:ascii="宋体" w:hAnsi="宋体"/>
          <w:sz w:val="24"/>
          <w:szCs w:val="24"/>
          <w:highlight w:val="yellow"/>
          <w:u w:val="single"/>
        </w:rPr>
        <w:t xml:space="preserve">  </w:t>
      </w:r>
    </w:p>
    <w:p w14:paraId="0A0ECA99">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hAnsi="宋体" w:eastAsia="宋体" w:cs="宋体"/>
          <w:sz w:val="24"/>
          <w:szCs w:val="24"/>
          <w:highlight w:val="yellow"/>
          <w:u w:val="single"/>
          <w:lang w:val="en-US" w:eastAsia="zh-CN"/>
        </w:rPr>
      </w:pPr>
      <w:r>
        <w:rPr>
          <w:rFonts w:hint="eastAsia" w:hAnsi="宋体" w:cs="宋体"/>
          <w:sz w:val="24"/>
          <w:szCs w:val="24"/>
          <w:highlight w:val="yellow"/>
        </w:rPr>
        <w:t>项目编号：</w:t>
      </w:r>
      <w:r>
        <w:rPr>
          <w:rFonts w:hint="eastAsia" w:hAnsi="宋体" w:cs="宋体"/>
          <w:sz w:val="24"/>
          <w:szCs w:val="24"/>
          <w:highlight w:val="yellow"/>
          <w:u w:val="single"/>
          <w:lang w:val="en-US" w:eastAsia="zh-CN"/>
        </w:rPr>
        <w:t xml:space="preserve">                                </w:t>
      </w:r>
    </w:p>
    <w:p w14:paraId="3E782915">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cs="宋体"/>
          <w:sz w:val="24"/>
          <w:szCs w:val="24"/>
          <w:highlight w:val="yellow"/>
          <w:u w:val="single"/>
        </w:rPr>
      </w:pPr>
      <w:r>
        <w:rPr>
          <w:rFonts w:hint="eastAsia" w:hAnsi="宋体" w:cs="宋体"/>
          <w:sz w:val="24"/>
          <w:szCs w:val="24"/>
          <w:highlight w:val="yellow"/>
        </w:rPr>
        <w:t xml:space="preserve">甲方：（买方） </w:t>
      </w:r>
      <w:r>
        <w:rPr>
          <w:rFonts w:hint="eastAsia" w:hAnsi="宋体" w:cs="宋体"/>
          <w:sz w:val="24"/>
          <w:szCs w:val="24"/>
          <w:highlight w:val="yellow"/>
          <w:u w:val="single"/>
          <w:lang w:val="en-US" w:eastAsia="zh-CN"/>
        </w:rPr>
        <w:t xml:space="preserve">                             </w:t>
      </w:r>
      <w:r>
        <w:rPr>
          <w:rFonts w:hint="eastAsia" w:hAnsi="宋体" w:cs="宋体"/>
          <w:sz w:val="24"/>
          <w:szCs w:val="24"/>
          <w:highlight w:val="yellow"/>
          <w:u w:val="single"/>
        </w:rPr>
        <w:t xml:space="preserve"> </w:t>
      </w:r>
    </w:p>
    <w:p w14:paraId="17E441CC">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cs="宋体"/>
          <w:sz w:val="24"/>
          <w:szCs w:val="24"/>
          <w:u w:val="single"/>
        </w:rPr>
      </w:pPr>
      <w:r>
        <w:rPr>
          <w:rFonts w:hint="eastAsia" w:hAnsi="宋体" w:cs="宋体"/>
          <w:sz w:val="24"/>
          <w:szCs w:val="24"/>
        </w:rPr>
        <w:t>乙方：（卖方）</w:t>
      </w:r>
      <w:r>
        <w:rPr>
          <w:rFonts w:hint="eastAsia" w:hAnsi="宋体" w:cs="宋体"/>
          <w:sz w:val="24"/>
          <w:szCs w:val="24"/>
          <w:u w:val="single"/>
        </w:rPr>
        <w:t xml:space="preserve">                      </w:t>
      </w:r>
    </w:p>
    <w:p w14:paraId="0A12FF7D">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 xml:space="preserve">   </w:t>
      </w:r>
      <w:r>
        <w:rPr>
          <w:rFonts w:hAnsi="宋体"/>
          <w:sz w:val="24"/>
          <w:szCs w:val="24"/>
          <w:highlight w:val="yellow"/>
        </w:rPr>
        <w:t>甲、乙双方根据</w:t>
      </w:r>
      <w:r>
        <w:rPr>
          <w:rFonts w:hint="eastAsia" w:hAnsi="宋体"/>
          <w:sz w:val="24"/>
          <w:szCs w:val="24"/>
          <w:u w:val="single"/>
        </w:rPr>
        <w:t xml:space="preserve">         </w:t>
      </w:r>
      <w:r>
        <w:rPr>
          <w:rFonts w:hAnsi="宋体"/>
          <w:sz w:val="24"/>
          <w:szCs w:val="24"/>
        </w:rPr>
        <w:t>项目</w:t>
      </w:r>
      <w:r>
        <w:rPr>
          <w:rFonts w:hint="eastAsia" w:hAnsi="宋体"/>
          <w:sz w:val="24"/>
          <w:szCs w:val="24"/>
          <w:lang w:val="en-US" w:eastAsia="zh-CN"/>
        </w:rPr>
        <w:t>竞争性磋商采购</w:t>
      </w:r>
      <w:r>
        <w:rPr>
          <w:rFonts w:hAnsi="宋体"/>
          <w:sz w:val="24"/>
          <w:szCs w:val="24"/>
        </w:rPr>
        <w:t>的结果，签署本合同。</w:t>
      </w:r>
    </w:p>
    <w:p w14:paraId="3DEBFBE4">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一、</w:t>
      </w:r>
      <w:r>
        <w:rPr>
          <w:rFonts w:hint="eastAsia" w:hAnsi="宋体"/>
          <w:b/>
          <w:sz w:val="24"/>
          <w:szCs w:val="24"/>
        </w:rPr>
        <w:t>合同</w:t>
      </w:r>
      <w:r>
        <w:rPr>
          <w:rFonts w:hAnsi="宋体"/>
          <w:b/>
          <w:sz w:val="24"/>
          <w:szCs w:val="24"/>
        </w:rPr>
        <w:t>内容</w:t>
      </w:r>
    </w:p>
    <w:p w14:paraId="4B0EFED3">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 xml:space="preserve">1.1 </w:t>
      </w:r>
      <w:r>
        <w:rPr>
          <w:rFonts w:hint="eastAsia" w:hAnsi="宋体"/>
          <w:sz w:val="24"/>
          <w:szCs w:val="24"/>
        </w:rPr>
        <w:t>标的</w:t>
      </w:r>
      <w:r>
        <w:rPr>
          <w:rFonts w:hAnsi="宋体"/>
          <w:sz w:val="24"/>
          <w:szCs w:val="24"/>
        </w:rPr>
        <w:t>名称：</w:t>
      </w:r>
    </w:p>
    <w:p w14:paraId="462B0D5F">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Ansi="宋体"/>
          <w:sz w:val="24"/>
          <w:szCs w:val="24"/>
        </w:rPr>
        <w:t>1.2</w:t>
      </w:r>
      <w:r>
        <w:rPr>
          <w:rFonts w:hint="eastAsia" w:hAnsi="宋体"/>
          <w:sz w:val="24"/>
          <w:szCs w:val="24"/>
        </w:rPr>
        <w:t>标的质量：</w:t>
      </w:r>
    </w:p>
    <w:p w14:paraId="4D0F0448">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1.3 标的数量（规模）：</w:t>
      </w:r>
    </w:p>
    <w:p w14:paraId="6889195B">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1.4 履行时间（期限）：</w:t>
      </w:r>
    </w:p>
    <w:p w14:paraId="08449926">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int="eastAsia" w:hAnsi="宋体"/>
          <w:sz w:val="24"/>
          <w:szCs w:val="24"/>
        </w:rPr>
        <w:t>1.5 履行地点：</w:t>
      </w:r>
    </w:p>
    <w:p w14:paraId="1BF8103D">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6履行方式：</w:t>
      </w:r>
    </w:p>
    <w:p w14:paraId="19000848">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二、合同金额</w:t>
      </w:r>
    </w:p>
    <w:p w14:paraId="69A87E6B">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14:paraId="1E81A546">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三、技术资料</w:t>
      </w:r>
    </w:p>
    <w:p w14:paraId="19206CA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Ansi="宋体"/>
          <w:sz w:val="24"/>
          <w:szCs w:val="24"/>
        </w:rPr>
        <w:t>3.1乙方应按招标文件规定的时间向甲方提供服务</w:t>
      </w:r>
      <w:r>
        <w:rPr>
          <w:rFonts w:hint="eastAsia" w:hAnsi="宋体"/>
          <w:sz w:val="24"/>
          <w:szCs w:val="24"/>
        </w:rPr>
        <w:t>（包含与服务相关的货物）</w:t>
      </w:r>
      <w:r>
        <w:rPr>
          <w:rFonts w:hAnsi="宋体"/>
          <w:sz w:val="24"/>
          <w:szCs w:val="24"/>
        </w:rPr>
        <w:t>的有关技术资料。</w:t>
      </w:r>
    </w:p>
    <w:p w14:paraId="391CE706">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0F36FE">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Ansi="宋体"/>
          <w:b/>
          <w:sz w:val="24"/>
          <w:szCs w:val="24"/>
        </w:rPr>
      </w:pPr>
      <w:r>
        <w:rPr>
          <w:rFonts w:hAnsi="宋体"/>
          <w:b/>
          <w:sz w:val="24"/>
          <w:szCs w:val="24"/>
        </w:rPr>
        <w:t>四、知识产权</w:t>
      </w:r>
    </w:p>
    <w:p w14:paraId="33032EF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sz w:val="24"/>
          <w:szCs w:val="24"/>
        </w:rPr>
      </w:pPr>
      <w:r>
        <w:rPr>
          <w:rFonts w:hAnsi="宋体"/>
          <w:sz w:val="24"/>
          <w:szCs w:val="24"/>
        </w:rPr>
        <w:t>4.1乙</w:t>
      </w:r>
      <w:r>
        <w:rPr>
          <w:rFonts w:hint="eastAsia" w:hAnsi="宋体"/>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14:paraId="69B45B24">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Ansi="宋体"/>
          <w:sz w:val="24"/>
          <w:szCs w:val="24"/>
          <w:u w:val="single"/>
        </w:rPr>
      </w:pPr>
      <w:r>
        <w:rPr>
          <w:rFonts w:hAnsi="宋体"/>
          <w:b/>
          <w:sz w:val="24"/>
          <w:szCs w:val="24"/>
        </w:rPr>
        <w:t>五、产权担保</w:t>
      </w:r>
    </w:p>
    <w:p w14:paraId="4D75BBE7">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Ansi="宋体"/>
          <w:sz w:val="24"/>
          <w:szCs w:val="24"/>
          <w:u w:val="single"/>
        </w:rPr>
      </w:pPr>
      <w:r>
        <w:rPr>
          <w:rFonts w:hAnsi="宋体"/>
          <w:sz w:val="24"/>
          <w:szCs w:val="24"/>
        </w:rPr>
        <w:t>5.1 乙方保证所交付的</w:t>
      </w:r>
      <w:r>
        <w:rPr>
          <w:rFonts w:hint="eastAsia" w:hAnsi="宋体"/>
          <w:sz w:val="24"/>
          <w:szCs w:val="24"/>
        </w:rPr>
        <w:t>服务（包含与服务相关的货物）</w:t>
      </w:r>
      <w:r>
        <w:rPr>
          <w:rFonts w:hAnsi="宋体"/>
          <w:sz w:val="24"/>
          <w:szCs w:val="24"/>
        </w:rPr>
        <w:t>的所有权完全属于乙方且无任何抵押、查封等产权瑕疵。</w:t>
      </w:r>
    </w:p>
    <w:p w14:paraId="7FD56D3D">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hAnsi="宋体"/>
          <w:b/>
          <w:color w:val="0000FF"/>
          <w:sz w:val="24"/>
          <w:szCs w:val="24"/>
        </w:rPr>
      </w:pPr>
      <w:r>
        <w:rPr>
          <w:rFonts w:hAnsi="宋体"/>
          <w:b/>
          <w:sz w:val="24"/>
          <w:szCs w:val="24"/>
        </w:rPr>
        <w:t>六、履约保证金</w:t>
      </w:r>
    </w:p>
    <w:p w14:paraId="3D50D713">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sz w:val="24"/>
          <w:szCs w:val="24"/>
        </w:rPr>
      </w:pPr>
      <w:r>
        <w:rPr>
          <w:rFonts w:hAnsi="宋体"/>
          <w:sz w:val="24"/>
          <w:szCs w:val="24"/>
        </w:rPr>
        <w:t>6.1 乙方交纳人民币</w:t>
      </w:r>
      <w:r>
        <w:rPr>
          <w:rFonts w:hint="eastAsia" w:hAnsi="宋体"/>
          <w:sz w:val="24"/>
          <w:szCs w:val="24"/>
          <w:u w:val="single"/>
        </w:rPr>
        <w:t xml:space="preserve">  零  </w:t>
      </w:r>
      <w:r>
        <w:rPr>
          <w:rFonts w:hAnsi="宋体"/>
          <w:sz w:val="24"/>
          <w:szCs w:val="24"/>
        </w:rPr>
        <w:t>元作为本合同的履约保证金。</w:t>
      </w:r>
      <w:r>
        <w:rPr>
          <w:rFonts w:hint="eastAsia" w:hAnsi="宋体"/>
          <w:sz w:val="24"/>
          <w:szCs w:val="24"/>
        </w:rPr>
        <w:t>（不得超过合同金额的10%）</w:t>
      </w:r>
    </w:p>
    <w:p w14:paraId="318FB986">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sz w:val="24"/>
          <w:szCs w:val="24"/>
        </w:rPr>
      </w:pPr>
      <w:r>
        <w:rPr>
          <w:rFonts w:hint="eastAsia" w:hAnsi="宋体"/>
          <w:sz w:val="24"/>
          <w:szCs w:val="24"/>
        </w:rPr>
        <w:t>6.2合同履行结束后，甲方应及时退还交纳的履约保证金。</w:t>
      </w:r>
    </w:p>
    <w:p w14:paraId="61713096">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color w:val="000000"/>
          <w:sz w:val="24"/>
          <w:szCs w:val="24"/>
        </w:rPr>
      </w:pPr>
      <w:r>
        <w:rPr>
          <w:rFonts w:hint="eastAsia" w:hAnsi="宋体"/>
          <w:sz w:val="24"/>
          <w:szCs w:val="24"/>
        </w:rPr>
        <w:t>6.2.1履约保证金退还方式：</w:t>
      </w:r>
      <w:r>
        <w:rPr>
          <w:rFonts w:hint="eastAsia" w:hAnsi="宋体"/>
          <w:color w:val="000000"/>
          <w:sz w:val="24"/>
          <w:szCs w:val="24"/>
        </w:rPr>
        <w:t>无</w:t>
      </w:r>
    </w:p>
    <w:p w14:paraId="2F151E9C">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sz w:val="24"/>
          <w:szCs w:val="24"/>
        </w:rPr>
      </w:pPr>
      <w:r>
        <w:rPr>
          <w:rFonts w:hint="eastAsia" w:hAnsi="宋体"/>
          <w:sz w:val="24"/>
          <w:szCs w:val="24"/>
        </w:rPr>
        <w:t>6.2.2履约保证金退还时间：</w:t>
      </w:r>
      <w:r>
        <w:rPr>
          <w:rFonts w:hint="eastAsia" w:hAnsi="宋体"/>
          <w:color w:val="000000"/>
          <w:sz w:val="24"/>
          <w:szCs w:val="24"/>
        </w:rPr>
        <w:t>无</w:t>
      </w:r>
    </w:p>
    <w:p w14:paraId="217A00B1">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color w:val="000000"/>
          <w:sz w:val="24"/>
          <w:szCs w:val="24"/>
        </w:rPr>
      </w:pPr>
      <w:r>
        <w:rPr>
          <w:rFonts w:hint="eastAsia" w:hAnsi="宋体"/>
          <w:sz w:val="24"/>
          <w:szCs w:val="24"/>
        </w:rPr>
        <w:t>6.2.3履约保证金退还条件：</w:t>
      </w:r>
      <w:r>
        <w:rPr>
          <w:rFonts w:hint="eastAsia" w:hAnsi="宋体"/>
          <w:color w:val="000000"/>
          <w:sz w:val="24"/>
          <w:szCs w:val="24"/>
        </w:rPr>
        <w:t>无</w:t>
      </w:r>
    </w:p>
    <w:p w14:paraId="06A3225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color w:val="000000"/>
          <w:sz w:val="24"/>
          <w:szCs w:val="24"/>
        </w:rPr>
      </w:pPr>
      <w:r>
        <w:rPr>
          <w:rFonts w:hint="eastAsia" w:hAnsi="宋体"/>
          <w:sz w:val="24"/>
          <w:szCs w:val="24"/>
        </w:rPr>
        <w:t>6.2.4履约保证金不予退还的情形：</w:t>
      </w:r>
      <w:r>
        <w:rPr>
          <w:rFonts w:hint="eastAsia" w:hAnsi="宋体"/>
          <w:color w:val="000000"/>
          <w:sz w:val="24"/>
          <w:szCs w:val="24"/>
        </w:rPr>
        <w:t>无</w:t>
      </w:r>
    </w:p>
    <w:p w14:paraId="5E376FC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ascii="宋体" w:hAnsi="宋体" w:eastAsia="仿宋_GB2312"/>
          <w:b/>
          <w:sz w:val="24"/>
          <w:szCs w:val="24"/>
        </w:rPr>
      </w:pPr>
      <w:r>
        <w:rPr>
          <w:rFonts w:hint="eastAsia" w:ascii="宋体" w:hAnsi="宋体"/>
          <w:b/>
          <w:sz w:val="24"/>
          <w:szCs w:val="24"/>
        </w:rPr>
        <w:t>七、合同转包或分包</w:t>
      </w:r>
    </w:p>
    <w:p w14:paraId="7B7B215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sz w:val="24"/>
          <w:szCs w:val="24"/>
        </w:rPr>
      </w:pPr>
      <w:r>
        <w:rPr>
          <w:rFonts w:hint="eastAsia" w:ascii="宋体" w:hAnsi="宋体"/>
          <w:sz w:val="24"/>
          <w:szCs w:val="24"/>
        </w:rPr>
        <w:t>7.1乙方不得将合同标的转包给他人履行。</w:t>
      </w:r>
    </w:p>
    <w:p w14:paraId="2A0274C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sz w:val="24"/>
          <w:szCs w:val="24"/>
        </w:rPr>
      </w:pPr>
      <w:r>
        <w:rPr>
          <w:rFonts w:hint="eastAsia" w:ascii="宋体" w:hAnsi="宋体"/>
          <w:sz w:val="24"/>
          <w:szCs w:val="24"/>
        </w:rPr>
        <w:t>7.2乙方不得将合同标的分包给他人履行。</w:t>
      </w:r>
    </w:p>
    <w:p w14:paraId="24B6E1F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ascii="宋体" w:hAnsi="宋体" w:eastAsia="仿宋_GB2312"/>
          <w:sz w:val="24"/>
          <w:szCs w:val="24"/>
        </w:rPr>
      </w:pPr>
      <w:r>
        <w:rPr>
          <w:rFonts w:ascii="宋体" w:hAnsi="宋体"/>
          <w:sz w:val="24"/>
          <w:szCs w:val="24"/>
        </w:rPr>
        <w:t>7.3</w:t>
      </w:r>
      <w:r>
        <w:rPr>
          <w:rFonts w:hint="eastAsia" w:ascii="宋体" w:hAnsi="宋体"/>
          <w:sz w:val="24"/>
          <w:szCs w:val="24"/>
        </w:rPr>
        <w:t>乙方如有转包或未经甲方同意的分包行为，甲方有权解除合同。</w:t>
      </w:r>
    </w:p>
    <w:p w14:paraId="2867A2F3">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Ansi="宋体"/>
          <w:b/>
          <w:sz w:val="24"/>
          <w:szCs w:val="24"/>
        </w:rPr>
      </w:pPr>
      <w:r>
        <w:rPr>
          <w:rFonts w:hint="eastAsia" w:hAnsi="宋体"/>
          <w:b/>
          <w:sz w:val="24"/>
          <w:szCs w:val="24"/>
        </w:rPr>
        <w:t>八</w:t>
      </w:r>
      <w:r>
        <w:rPr>
          <w:rFonts w:hAnsi="宋体"/>
          <w:b/>
          <w:sz w:val="24"/>
          <w:szCs w:val="24"/>
        </w:rPr>
        <w:t>、</w:t>
      </w:r>
      <w:r>
        <w:rPr>
          <w:rFonts w:hint="eastAsia" w:hAnsi="宋体"/>
          <w:b/>
          <w:sz w:val="24"/>
          <w:szCs w:val="24"/>
        </w:rPr>
        <w:t>合同款项</w:t>
      </w:r>
      <w:r>
        <w:rPr>
          <w:rFonts w:hAnsi="宋体"/>
          <w:b/>
          <w:sz w:val="24"/>
          <w:szCs w:val="24"/>
        </w:rPr>
        <w:t>支付</w:t>
      </w:r>
    </w:p>
    <w:p w14:paraId="7FD3FAFA">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hAnsi="宋体"/>
          <w:color w:val="000000"/>
          <w:sz w:val="24"/>
          <w:szCs w:val="24"/>
        </w:rPr>
      </w:pPr>
      <w:r>
        <w:rPr>
          <w:rFonts w:hint="eastAsia" w:hAnsi="宋体"/>
          <w:color w:val="000000"/>
          <w:sz w:val="24"/>
          <w:szCs w:val="24"/>
        </w:rPr>
        <w:t xml:space="preserve">8.1 本合同项下所有款项均以人民币支付。 </w:t>
      </w:r>
    </w:p>
    <w:p w14:paraId="1AE6FD5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Courier New"/>
          <w:color w:val="FF0000"/>
          <w:sz w:val="24"/>
          <w:szCs w:val="24"/>
        </w:rPr>
      </w:pPr>
      <w:r>
        <w:rPr>
          <w:rFonts w:hint="eastAsia" w:hAnsi="宋体"/>
          <w:color w:val="000000"/>
          <w:sz w:val="24"/>
          <w:szCs w:val="24"/>
        </w:rPr>
        <w:t>8.2 甲方付款方式：</w:t>
      </w:r>
    </w:p>
    <w:p w14:paraId="61A35121">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eastAsia="仿宋_GB2312"/>
          <w:b/>
          <w:sz w:val="24"/>
          <w:szCs w:val="24"/>
        </w:rPr>
      </w:pPr>
      <w:r>
        <w:rPr>
          <w:rFonts w:hint="eastAsia" w:hAnsi="宋体"/>
          <w:b/>
          <w:sz w:val="24"/>
          <w:szCs w:val="24"/>
        </w:rPr>
        <w:t>九、税费</w:t>
      </w:r>
    </w:p>
    <w:p w14:paraId="5EBE13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eastAsia="仿宋_GB2312"/>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本合同执行中相关的一切税费均由乙方负担。</w:t>
      </w:r>
    </w:p>
    <w:p w14:paraId="2D4A84D2">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十、</w:t>
      </w:r>
      <w:r>
        <w:rPr>
          <w:rFonts w:hint="eastAsia" w:hAnsi="宋体"/>
          <w:b/>
          <w:sz w:val="24"/>
          <w:szCs w:val="24"/>
        </w:rPr>
        <w:t>项目</w:t>
      </w:r>
      <w:r>
        <w:rPr>
          <w:rFonts w:hAnsi="宋体"/>
          <w:b/>
          <w:sz w:val="24"/>
          <w:szCs w:val="24"/>
        </w:rPr>
        <w:t>验收</w:t>
      </w:r>
    </w:p>
    <w:p w14:paraId="4BF42450">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10.1 甲方依法组织履约验收工作。</w:t>
      </w:r>
    </w:p>
    <w:p w14:paraId="3B25C43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3AE4B0A8">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10.3 对于实际使用人和甲方分离的项目，甲方邀请实际使用人参与验收。</w:t>
      </w:r>
    </w:p>
    <w:p w14:paraId="62BF0E18">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10.4 如有必要，甲方邀请参加本项目的其他供应商或第三方专业机构及专家参与验收，相关意见将作为验收书的参考资料。</w:t>
      </w:r>
    </w:p>
    <w:p w14:paraId="4A9A16AB">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589AE849">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3F59241D">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十</w:t>
      </w:r>
      <w:r>
        <w:rPr>
          <w:rFonts w:hint="eastAsia" w:hAnsi="宋体"/>
          <w:b/>
          <w:sz w:val="24"/>
          <w:szCs w:val="24"/>
        </w:rPr>
        <w:t>一</w:t>
      </w:r>
      <w:r>
        <w:rPr>
          <w:rFonts w:hAnsi="宋体"/>
          <w:b/>
          <w:sz w:val="24"/>
          <w:szCs w:val="24"/>
        </w:rPr>
        <w:t>、违约责任</w:t>
      </w:r>
    </w:p>
    <w:p w14:paraId="73137BFC">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1</w:t>
      </w:r>
      <w:r>
        <w:rPr>
          <w:rFonts w:hAnsi="宋体"/>
          <w:sz w:val="24"/>
          <w:szCs w:val="24"/>
        </w:rPr>
        <w:t>.1 甲方无正当理由</w:t>
      </w:r>
      <w:r>
        <w:rPr>
          <w:rFonts w:hint="eastAsia" w:hAnsi="宋体"/>
          <w:sz w:val="24"/>
          <w:szCs w:val="24"/>
        </w:rPr>
        <w:t>拒绝接受乙方提供服务</w:t>
      </w:r>
      <w:r>
        <w:rPr>
          <w:rFonts w:hAnsi="宋体"/>
          <w:sz w:val="24"/>
          <w:szCs w:val="24"/>
        </w:rPr>
        <w:t>的，甲方向乙方偿付</w:t>
      </w:r>
      <w:r>
        <w:rPr>
          <w:rFonts w:hint="eastAsia" w:hAnsi="宋体"/>
          <w:sz w:val="24"/>
          <w:szCs w:val="24"/>
        </w:rPr>
        <w:t>拒绝接受服务合同价款</w:t>
      </w:r>
      <w:r>
        <w:rPr>
          <w:rFonts w:hAnsi="宋体"/>
          <w:sz w:val="24"/>
          <w:szCs w:val="24"/>
        </w:rPr>
        <w:t>总值</w:t>
      </w:r>
      <w:r>
        <w:rPr>
          <w:rFonts w:hint="eastAsia" w:hAnsi="宋体"/>
          <w:sz w:val="24"/>
          <w:szCs w:val="24"/>
          <w:u w:val="single"/>
        </w:rPr>
        <w:t xml:space="preserve">    </w:t>
      </w:r>
      <w:r>
        <w:rPr>
          <w:rFonts w:hAnsi="宋体"/>
          <w:sz w:val="24"/>
          <w:szCs w:val="24"/>
        </w:rPr>
        <w:t>的违约金。</w:t>
      </w:r>
    </w:p>
    <w:p w14:paraId="0DA8345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1</w:t>
      </w:r>
      <w:r>
        <w:rPr>
          <w:rFonts w:hAnsi="宋体"/>
          <w:sz w:val="24"/>
          <w:szCs w:val="24"/>
        </w:rPr>
        <w:t>.2 甲方无故逾期验收和办理</w:t>
      </w:r>
      <w:r>
        <w:rPr>
          <w:rFonts w:hint="eastAsia" w:hAnsi="宋体"/>
          <w:sz w:val="24"/>
          <w:szCs w:val="24"/>
        </w:rPr>
        <w:t>合同款项</w:t>
      </w:r>
      <w:r>
        <w:rPr>
          <w:rFonts w:hAnsi="宋体"/>
          <w:sz w:val="24"/>
          <w:szCs w:val="24"/>
        </w:rPr>
        <w:t>支付手续的,甲方应按逾期付款总额</w:t>
      </w:r>
      <w:r>
        <w:rPr>
          <w:rFonts w:hint="eastAsia" w:hAnsi="宋体"/>
          <w:sz w:val="24"/>
          <w:szCs w:val="24"/>
          <w:u w:val="single"/>
        </w:rPr>
        <w:t xml:space="preserve">    </w:t>
      </w:r>
      <w:r>
        <w:rPr>
          <w:rFonts w:hAnsi="宋体"/>
          <w:sz w:val="24"/>
          <w:szCs w:val="24"/>
        </w:rPr>
        <w:t>每日向乙方支付违约金。</w:t>
      </w:r>
    </w:p>
    <w:p w14:paraId="606F7771">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1</w:t>
      </w:r>
      <w:r>
        <w:rPr>
          <w:rFonts w:hAnsi="宋体"/>
          <w:sz w:val="24"/>
          <w:szCs w:val="24"/>
        </w:rPr>
        <w:t>.3 乙方逾期</w:t>
      </w:r>
      <w:r>
        <w:rPr>
          <w:rFonts w:hint="eastAsia" w:hAnsi="宋体"/>
          <w:sz w:val="24"/>
          <w:szCs w:val="24"/>
        </w:rPr>
        <w:t>提供服务</w:t>
      </w:r>
      <w:r>
        <w:rPr>
          <w:rFonts w:hAnsi="宋体"/>
          <w:sz w:val="24"/>
          <w:szCs w:val="24"/>
        </w:rPr>
        <w:t>的，乙方应按逾期</w:t>
      </w:r>
      <w:r>
        <w:rPr>
          <w:rFonts w:hint="eastAsia" w:hAnsi="宋体"/>
          <w:sz w:val="24"/>
          <w:szCs w:val="24"/>
        </w:rPr>
        <w:t>提供服务合同</w:t>
      </w:r>
      <w:r>
        <w:rPr>
          <w:rFonts w:hAnsi="宋体"/>
          <w:sz w:val="24"/>
          <w:szCs w:val="24"/>
        </w:rPr>
        <w:t>总额每日千分之六向甲方支付违约金，由甲方从待付</w:t>
      </w:r>
      <w:r>
        <w:rPr>
          <w:rFonts w:hint="eastAsia" w:hAnsi="宋体"/>
          <w:sz w:val="24"/>
          <w:szCs w:val="24"/>
        </w:rPr>
        <w:t>合同款项</w:t>
      </w:r>
      <w:r>
        <w:rPr>
          <w:rFonts w:hAnsi="宋体"/>
          <w:sz w:val="24"/>
          <w:szCs w:val="24"/>
        </w:rPr>
        <w:t>中扣除。逾期超过约定日期10个工作日不能</w:t>
      </w:r>
      <w:r>
        <w:rPr>
          <w:rFonts w:hint="eastAsia" w:hAnsi="宋体"/>
          <w:sz w:val="24"/>
          <w:szCs w:val="24"/>
        </w:rPr>
        <w:t>提供服务</w:t>
      </w:r>
      <w:r>
        <w:rPr>
          <w:rFonts w:hAnsi="宋体"/>
          <w:sz w:val="24"/>
          <w:szCs w:val="24"/>
        </w:rPr>
        <w:t>的，甲方可解除本合同。乙方因逾期</w:t>
      </w:r>
      <w:r>
        <w:rPr>
          <w:rFonts w:hint="eastAsia" w:hAnsi="宋体"/>
          <w:sz w:val="24"/>
          <w:szCs w:val="24"/>
        </w:rPr>
        <w:t>提供服务</w:t>
      </w:r>
      <w:r>
        <w:rPr>
          <w:rFonts w:hAnsi="宋体"/>
          <w:sz w:val="24"/>
          <w:szCs w:val="24"/>
        </w:rPr>
        <w:t>或因其他违约行为导致甲方解除合同的，乙方应向甲方支付合同</w:t>
      </w:r>
      <w:r>
        <w:rPr>
          <w:rFonts w:hint="eastAsia" w:hAnsi="宋体"/>
          <w:sz w:val="24"/>
          <w:szCs w:val="24"/>
        </w:rPr>
        <w:t>价款总额</w:t>
      </w:r>
      <w:r>
        <w:rPr>
          <w:rFonts w:hint="eastAsia" w:hAnsi="宋体"/>
          <w:sz w:val="24"/>
          <w:szCs w:val="24"/>
          <w:u w:val="single"/>
        </w:rPr>
        <w:t xml:space="preserve">     </w:t>
      </w:r>
      <w:r>
        <w:rPr>
          <w:rFonts w:hAnsi="宋体"/>
          <w:sz w:val="24"/>
          <w:szCs w:val="24"/>
        </w:rPr>
        <w:t xml:space="preserve">的违约金，如造成甲方损失超过违约金的，超出部分由乙方继续承担赔偿责任。 </w:t>
      </w:r>
    </w:p>
    <w:p w14:paraId="5E7FD97B">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1</w:t>
      </w:r>
      <w:r>
        <w:rPr>
          <w:rFonts w:hAnsi="宋体"/>
          <w:sz w:val="24"/>
          <w:szCs w:val="24"/>
        </w:rPr>
        <w:t>.4 乙方</w:t>
      </w:r>
      <w:r>
        <w:rPr>
          <w:rFonts w:hint="eastAsia" w:hAnsi="宋体"/>
          <w:sz w:val="24"/>
          <w:szCs w:val="24"/>
        </w:rPr>
        <w:t>所提供服务的标准</w:t>
      </w:r>
      <w:r>
        <w:rPr>
          <w:rFonts w:hAnsi="宋体"/>
          <w:sz w:val="24"/>
          <w:szCs w:val="24"/>
        </w:rPr>
        <w:t>不符合合同规定及招标文件规定标准的，甲方有权</w:t>
      </w:r>
      <w:r>
        <w:rPr>
          <w:rFonts w:hint="eastAsia" w:hAnsi="宋体"/>
          <w:sz w:val="24"/>
          <w:szCs w:val="24"/>
        </w:rPr>
        <w:t>拒绝接受服务</w:t>
      </w:r>
      <w:r>
        <w:rPr>
          <w:rFonts w:hAnsi="宋体"/>
          <w:sz w:val="24"/>
          <w:szCs w:val="24"/>
        </w:rPr>
        <w:t>，</w:t>
      </w:r>
      <w:r>
        <w:rPr>
          <w:rFonts w:hint="eastAsia" w:hAnsi="宋体"/>
          <w:sz w:val="24"/>
          <w:szCs w:val="24"/>
        </w:rPr>
        <w:t>并</w:t>
      </w:r>
      <w:r>
        <w:rPr>
          <w:rFonts w:hAnsi="宋体"/>
          <w:sz w:val="24"/>
          <w:szCs w:val="24"/>
        </w:rPr>
        <w:t>可单方面解除合同。</w:t>
      </w:r>
    </w:p>
    <w:p w14:paraId="644C82A5">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十</w:t>
      </w:r>
      <w:r>
        <w:rPr>
          <w:rFonts w:hint="eastAsia" w:hAnsi="宋体"/>
          <w:b/>
          <w:sz w:val="24"/>
          <w:szCs w:val="24"/>
        </w:rPr>
        <w:t>二</w:t>
      </w:r>
      <w:r>
        <w:rPr>
          <w:rFonts w:hAnsi="宋体"/>
          <w:b/>
          <w:sz w:val="24"/>
          <w:szCs w:val="24"/>
        </w:rPr>
        <w:t>、不可抗力事件处理</w:t>
      </w:r>
    </w:p>
    <w:p w14:paraId="5EDB9A9C">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2</w:t>
      </w:r>
      <w:r>
        <w:rPr>
          <w:rFonts w:hAnsi="宋体"/>
          <w:sz w:val="24"/>
          <w:szCs w:val="24"/>
        </w:rPr>
        <w:t>.1 在合同有效期内，任何一方因不可抗力事件导致不能履行合同，则合同履行期可延长，其延长期与不可抗力影响</w:t>
      </w:r>
      <w:r>
        <w:rPr>
          <w:rFonts w:hint="eastAsia" w:hAnsi="宋体"/>
          <w:sz w:val="24"/>
          <w:szCs w:val="24"/>
        </w:rPr>
        <w:t xml:space="preserve"> </w:t>
      </w:r>
      <w:r>
        <w:rPr>
          <w:rFonts w:hAnsi="宋体"/>
          <w:sz w:val="24"/>
          <w:szCs w:val="24"/>
        </w:rPr>
        <w:t>期相同。</w:t>
      </w:r>
    </w:p>
    <w:p w14:paraId="29EE2454">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2</w:t>
      </w:r>
      <w:r>
        <w:rPr>
          <w:rFonts w:hAnsi="宋体"/>
          <w:sz w:val="24"/>
          <w:szCs w:val="24"/>
        </w:rPr>
        <w:t>.2 不可抗力事件发生后，应立即通知对方，并寄送有关权威机构出具的证明。</w:t>
      </w:r>
    </w:p>
    <w:p w14:paraId="301BBF97">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2</w:t>
      </w:r>
      <w:r>
        <w:rPr>
          <w:rFonts w:hAnsi="宋体"/>
          <w:sz w:val="24"/>
          <w:szCs w:val="24"/>
        </w:rPr>
        <w:t>.3 不可抗力事件延续120天以上，双方应通过友好协商，确定是否继续履行合同。</w:t>
      </w:r>
    </w:p>
    <w:p w14:paraId="2ECFDE70">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十</w:t>
      </w:r>
      <w:r>
        <w:rPr>
          <w:rFonts w:hint="eastAsia" w:hAnsi="宋体"/>
          <w:b/>
          <w:sz w:val="24"/>
          <w:szCs w:val="24"/>
        </w:rPr>
        <w:t>三</w:t>
      </w:r>
      <w:r>
        <w:rPr>
          <w:rFonts w:hAnsi="宋体"/>
          <w:b/>
          <w:sz w:val="24"/>
          <w:szCs w:val="24"/>
        </w:rPr>
        <w:t>、</w:t>
      </w:r>
      <w:r>
        <w:rPr>
          <w:rFonts w:hint="eastAsia" w:hAnsi="宋体"/>
          <w:b/>
          <w:sz w:val="24"/>
          <w:szCs w:val="24"/>
        </w:rPr>
        <w:t>解决争议的方法</w:t>
      </w:r>
    </w:p>
    <w:p w14:paraId="2FDCEA81">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sz w:val="24"/>
          <w:szCs w:val="24"/>
        </w:rPr>
      </w:pPr>
      <w:r>
        <w:rPr>
          <w:rFonts w:hint="eastAsia" w:hAnsi="宋体"/>
          <w:sz w:val="24"/>
          <w:szCs w:val="24"/>
        </w:rPr>
        <w:t>13.1双方在签订、履行合同中所发生的一切争议，应通过友好协商解决。如协商不成，由甲方住所地人民法院管辖。</w:t>
      </w:r>
    </w:p>
    <w:p w14:paraId="00DF031C">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Ansi="宋体"/>
          <w:b/>
          <w:sz w:val="24"/>
          <w:szCs w:val="24"/>
        </w:rPr>
      </w:pPr>
      <w:r>
        <w:rPr>
          <w:rFonts w:hAnsi="宋体"/>
          <w:b/>
          <w:sz w:val="24"/>
          <w:szCs w:val="24"/>
        </w:rPr>
        <w:t>十</w:t>
      </w:r>
      <w:r>
        <w:rPr>
          <w:rFonts w:hint="eastAsia" w:hAnsi="宋体"/>
          <w:b/>
          <w:sz w:val="24"/>
          <w:szCs w:val="24"/>
        </w:rPr>
        <w:t>四</w:t>
      </w:r>
      <w:r>
        <w:rPr>
          <w:rFonts w:hAnsi="宋体"/>
          <w:b/>
          <w:sz w:val="24"/>
          <w:szCs w:val="24"/>
        </w:rPr>
        <w:t>、合同生效及其它</w:t>
      </w:r>
    </w:p>
    <w:p w14:paraId="647C154B">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4</w:t>
      </w:r>
      <w:r>
        <w:rPr>
          <w:rFonts w:hAnsi="宋体"/>
          <w:sz w:val="24"/>
          <w:szCs w:val="24"/>
        </w:rPr>
        <w:t>.1 合同经双方法定代表人或授权委托代</w:t>
      </w:r>
      <w:r>
        <w:rPr>
          <w:rFonts w:hint="eastAsia" w:hAnsi="宋体"/>
          <w:sz w:val="24"/>
          <w:szCs w:val="24"/>
        </w:rPr>
        <w:t>表</w:t>
      </w:r>
      <w:r>
        <w:rPr>
          <w:rFonts w:hAnsi="宋体"/>
          <w:sz w:val="24"/>
          <w:szCs w:val="24"/>
        </w:rPr>
        <w:t>人签字并加盖单位公章后生效。</w:t>
      </w:r>
    </w:p>
    <w:p w14:paraId="13352720">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4</w:t>
      </w:r>
      <w:r>
        <w:rPr>
          <w:rFonts w:hAnsi="宋体"/>
          <w:sz w:val="24"/>
          <w:szCs w:val="24"/>
        </w:rPr>
        <w:t>.2本合同未尽事宜，遵照</w:t>
      </w:r>
      <w:r>
        <w:rPr>
          <w:rFonts w:hint="eastAsia" w:hAnsi="宋体"/>
          <w:sz w:val="24"/>
          <w:szCs w:val="24"/>
        </w:rPr>
        <w:t>《民法典》、《政府采购法》</w:t>
      </w:r>
      <w:r>
        <w:rPr>
          <w:rFonts w:hAnsi="宋体"/>
          <w:sz w:val="24"/>
          <w:szCs w:val="24"/>
        </w:rPr>
        <w:t>有关条文执行。</w:t>
      </w:r>
    </w:p>
    <w:p w14:paraId="5048352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1</w:t>
      </w:r>
      <w:r>
        <w:rPr>
          <w:rFonts w:hint="eastAsia" w:hAnsi="宋体"/>
          <w:sz w:val="24"/>
          <w:szCs w:val="24"/>
        </w:rPr>
        <w:t>4</w:t>
      </w:r>
      <w:r>
        <w:rPr>
          <w:rFonts w:hAnsi="宋体"/>
          <w:sz w:val="24"/>
          <w:szCs w:val="24"/>
        </w:rPr>
        <w:t>.</w:t>
      </w:r>
      <w:r>
        <w:rPr>
          <w:rFonts w:hint="eastAsia" w:hAnsi="宋体"/>
          <w:sz w:val="24"/>
          <w:szCs w:val="24"/>
        </w:rPr>
        <w:t>3</w:t>
      </w:r>
      <w:r>
        <w:rPr>
          <w:rFonts w:hAnsi="宋体"/>
          <w:sz w:val="24"/>
          <w:szCs w:val="24"/>
        </w:rPr>
        <w:t xml:space="preserve"> 本合同正本一式</w:t>
      </w:r>
      <w:r>
        <w:rPr>
          <w:rFonts w:hint="eastAsia" w:hAnsi="宋体"/>
          <w:sz w:val="24"/>
          <w:szCs w:val="24"/>
        </w:rPr>
        <w:t>两</w:t>
      </w:r>
      <w:r>
        <w:rPr>
          <w:rFonts w:hAnsi="宋体"/>
          <w:sz w:val="24"/>
          <w:szCs w:val="24"/>
        </w:rPr>
        <w:t>份，具有同等法律效力，甲</w:t>
      </w:r>
      <w:r>
        <w:rPr>
          <w:rFonts w:hint="eastAsia" w:hAnsi="宋体"/>
          <w:sz w:val="24"/>
          <w:szCs w:val="24"/>
        </w:rPr>
        <w:t>方、</w:t>
      </w:r>
      <w:r>
        <w:rPr>
          <w:rFonts w:hAnsi="宋体"/>
          <w:sz w:val="24"/>
          <w:szCs w:val="24"/>
        </w:rPr>
        <w:t>乙方各执一份。</w:t>
      </w:r>
    </w:p>
    <w:p w14:paraId="1EEDAB8E">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 xml:space="preserve">  甲方：                        乙方： </w:t>
      </w:r>
    </w:p>
    <w:p w14:paraId="47814B51">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14:paraId="6E000BF2">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14:paraId="23A7223D">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rPr>
      </w:pPr>
      <w:r>
        <w:rPr>
          <w:rFonts w:hint="eastAsia" w:hAnsi="宋体"/>
          <w:sz w:val="24"/>
          <w:szCs w:val="24"/>
        </w:rPr>
        <w:t xml:space="preserve">联系电话：                    联系电话：          </w:t>
      </w:r>
    </w:p>
    <w:p w14:paraId="38C8A4E5">
      <w:pPr>
        <w:rPr>
          <w:rFonts w:hint="eastAsia" w:hAnsi="宋体" w:cs="Courier New"/>
          <w:sz w:val="24"/>
          <w:szCs w:val="24"/>
        </w:rPr>
      </w:pPr>
      <w:r>
        <w:rPr>
          <w:rFonts w:hint="eastAsia"/>
        </w:rPr>
        <w:t xml:space="preserve">                                        </w:t>
      </w:r>
      <w:r>
        <w:rPr>
          <w:rFonts w:hint="eastAsia" w:hAnsi="宋体" w:cs="Courier New"/>
          <w:sz w:val="24"/>
          <w:szCs w:val="24"/>
        </w:rPr>
        <w:t xml:space="preserve">  签订日期：      年    月   日</w:t>
      </w:r>
    </w:p>
    <w:p w14:paraId="32C4E7E9">
      <w:pPr>
        <w:rPr>
          <w:rFonts w:ascii="仿宋" w:hAnsi="仿宋" w:eastAsia="仿宋" w:cs="仿宋"/>
          <w:b/>
          <w:bCs/>
          <w:i/>
          <w:iCs/>
          <w:color w:val="auto"/>
          <w:sz w:val="28"/>
          <w:szCs w:val="28"/>
          <w:highlight w:val="none"/>
        </w:rPr>
      </w:pPr>
      <w:r>
        <w:rPr>
          <w:rFonts w:hint="eastAsia" w:ascii="仿宋" w:hAnsi="仿宋" w:eastAsia="仿宋" w:cs="仿宋"/>
          <w:b/>
          <w:bCs/>
          <w:i/>
          <w:iCs/>
          <w:color w:val="auto"/>
          <w:sz w:val="28"/>
          <w:szCs w:val="28"/>
          <w:highlight w:val="none"/>
        </w:rPr>
        <w:t>注：格式仅作参考</w:t>
      </w:r>
    </w:p>
    <w:bookmarkEnd w:id="23"/>
    <w:p w14:paraId="115FE92C">
      <w:pPr>
        <w:pStyle w:val="20"/>
        <w:spacing w:before="120" w:after="120" w:line="360" w:lineRule="auto"/>
        <w:ind w:firstLine="400"/>
        <w:rPr>
          <w:rFonts w:hint="eastAsia" w:hAnsi="宋体"/>
          <w:color w:val="auto"/>
          <w:highlight w:val="none"/>
        </w:rPr>
      </w:pPr>
    </w:p>
    <w:p w14:paraId="0294003C">
      <w:pPr>
        <w:pStyle w:val="236"/>
        <w:spacing w:before="0" w:after="0" w:line="360" w:lineRule="auto"/>
        <w:ind w:firstLine="883"/>
        <w:jc w:val="center"/>
        <w:rPr>
          <w:color w:val="auto"/>
          <w:highlight w:val="none"/>
        </w:rPr>
      </w:pPr>
      <w:r>
        <w:rPr>
          <w:rFonts w:hint="eastAsia"/>
          <w:color w:val="auto"/>
          <w:highlight w:val="none"/>
        </w:rPr>
        <w:br w:type="page" w:clear="all"/>
      </w:r>
      <w:r>
        <w:rPr>
          <w:rStyle w:val="89"/>
          <w:rFonts w:hint="eastAsia"/>
          <w:b/>
          <w:color w:val="auto"/>
          <w:highlight w:val="none"/>
        </w:rPr>
        <w:t>第四章 项目需求</w:t>
      </w:r>
      <w:bookmarkEnd w:id="22"/>
    </w:p>
    <w:p w14:paraId="50859C64">
      <w:pPr>
        <w:pStyle w:val="3"/>
        <w:numPr>
          <w:ilvl w:val="0"/>
          <w:numId w:val="2"/>
        </w:numPr>
        <w:spacing w:before="312" w:beforeLines="100" w:after="312" w:afterLines="100" w:line="360" w:lineRule="auto"/>
        <w:rPr>
          <w:rFonts w:ascii="宋体" w:hAnsi="宋体" w:cs="宋体"/>
          <w:kern w:val="2"/>
          <w:sz w:val="24"/>
          <w:szCs w:val="24"/>
          <w:shd w:val="clear" w:color="auto" w:fill="FFFFFF"/>
        </w:rPr>
      </w:pPr>
      <w:bookmarkStart w:id="24" w:name="_Toc169861475"/>
      <w:bookmarkStart w:id="25" w:name="_Toc109304975"/>
      <w:r>
        <w:rPr>
          <w:rFonts w:hint="eastAsia" w:ascii="宋体" w:hAnsi="宋体" w:cs="宋体"/>
          <w:kern w:val="2"/>
          <w:sz w:val="24"/>
          <w:szCs w:val="24"/>
          <w:shd w:val="clear" w:color="auto" w:fill="FFFFFF"/>
        </w:rPr>
        <w:t>项目概述</w:t>
      </w:r>
      <w:bookmarkEnd w:id="24"/>
    </w:p>
    <w:p w14:paraId="5CE07330">
      <w:pPr>
        <w:pStyle w:val="4"/>
        <w:spacing w:before="156" w:beforeLines="50" w:after="156" w:afterLines="50" w:line="360" w:lineRule="auto"/>
        <w:jc w:val="left"/>
        <w:rPr>
          <w:rFonts w:ascii="宋体" w:hAnsi="宋体" w:eastAsia="宋体" w:cs="宋体"/>
          <w:color w:val="333333"/>
          <w:kern w:val="2"/>
          <w:sz w:val="24"/>
          <w:szCs w:val="24"/>
          <w:shd w:val="clear" w:color="auto" w:fill="FFFFFF"/>
        </w:rPr>
      </w:pPr>
      <w:bookmarkStart w:id="26" w:name="_Toc18713"/>
      <w:bookmarkStart w:id="27" w:name="_Toc169861476"/>
      <w:r>
        <w:rPr>
          <w:rFonts w:hint="eastAsia" w:ascii="宋体" w:hAnsi="宋体" w:eastAsia="宋体" w:cs="宋体"/>
          <w:color w:val="333333"/>
          <w:kern w:val="2"/>
          <w:sz w:val="24"/>
          <w:szCs w:val="24"/>
          <w:shd w:val="clear" w:color="auto" w:fill="FFFFFF"/>
        </w:rPr>
        <w:t>1.1项目</w:t>
      </w:r>
      <w:bookmarkEnd w:id="26"/>
      <w:bookmarkEnd w:id="27"/>
      <w:r>
        <w:rPr>
          <w:rFonts w:hint="eastAsia" w:ascii="宋体" w:hAnsi="宋体" w:eastAsia="宋体" w:cs="宋体"/>
          <w:color w:val="333333"/>
          <w:kern w:val="2"/>
          <w:sz w:val="24"/>
          <w:szCs w:val="24"/>
          <w:shd w:val="clear" w:color="auto" w:fill="FFFFFF"/>
        </w:rPr>
        <w:t>建设内容</w:t>
      </w:r>
    </w:p>
    <w:p w14:paraId="380D20F4">
      <w:pPr>
        <w:spacing w:line="360" w:lineRule="auto"/>
        <w:ind w:firstLine="480" w:firstLineChars="200"/>
        <w:rPr>
          <w:sz w:val="24"/>
          <w:szCs w:val="24"/>
        </w:rPr>
      </w:pPr>
      <w:r>
        <w:rPr>
          <w:rFonts w:hint="eastAsia"/>
          <w:sz w:val="24"/>
          <w:szCs w:val="24"/>
        </w:rPr>
        <w:t>本项目主要建设系统如下：</w:t>
      </w:r>
    </w:p>
    <w:p w14:paraId="05A99643">
      <w:pPr>
        <w:spacing w:line="360" w:lineRule="auto"/>
        <w:ind w:firstLine="480" w:firstLineChars="200"/>
        <w:rPr>
          <w:sz w:val="24"/>
          <w:szCs w:val="24"/>
        </w:rPr>
      </w:pPr>
      <w:r>
        <w:rPr>
          <w:rFonts w:hint="eastAsia"/>
          <w:sz w:val="24"/>
          <w:szCs w:val="24"/>
        </w:rPr>
        <w:t>1、DIP运营管理系统</w:t>
      </w:r>
    </w:p>
    <w:p w14:paraId="263D6F5E">
      <w:pPr>
        <w:spacing w:line="360" w:lineRule="auto"/>
        <w:ind w:firstLine="480" w:firstLineChars="200"/>
        <w:rPr>
          <w:sz w:val="24"/>
          <w:szCs w:val="24"/>
        </w:rPr>
      </w:pPr>
      <w:r>
        <w:rPr>
          <w:rFonts w:hint="eastAsia"/>
          <w:sz w:val="24"/>
          <w:szCs w:val="24"/>
        </w:rPr>
        <w:t>2、医保智能监控系统</w:t>
      </w:r>
    </w:p>
    <w:p w14:paraId="085C28C4">
      <w:pPr>
        <w:pStyle w:val="4"/>
        <w:spacing w:before="156" w:beforeLines="50" w:after="156" w:afterLines="50" w:line="360" w:lineRule="auto"/>
        <w:jc w:val="left"/>
        <w:rPr>
          <w:rFonts w:ascii="宋体" w:hAnsi="宋体" w:eastAsia="宋体" w:cs="宋体"/>
          <w:color w:val="333333"/>
          <w:kern w:val="2"/>
          <w:sz w:val="24"/>
          <w:szCs w:val="24"/>
          <w:shd w:val="clear" w:color="auto" w:fill="FFFFFF"/>
        </w:rPr>
      </w:pPr>
      <w:bookmarkStart w:id="28" w:name="_Toc169861477"/>
      <w:bookmarkStart w:id="29" w:name="_Toc8903"/>
      <w:r>
        <w:rPr>
          <w:rFonts w:hint="eastAsia" w:ascii="宋体" w:hAnsi="宋体" w:eastAsia="宋体" w:cs="宋体"/>
          <w:color w:val="333333"/>
          <w:kern w:val="2"/>
          <w:sz w:val="24"/>
          <w:szCs w:val="24"/>
          <w:shd w:val="clear" w:color="auto" w:fill="FFFFFF"/>
        </w:rPr>
        <w:t>1.2 建设目标</w:t>
      </w:r>
      <w:bookmarkEnd w:id="28"/>
      <w:bookmarkEnd w:id="29"/>
    </w:p>
    <w:p w14:paraId="79230BD2">
      <w:pPr>
        <w:pStyle w:val="250"/>
        <w:spacing w:line="360" w:lineRule="auto"/>
        <w:ind w:firstLine="420"/>
        <w:rPr>
          <w:rFonts w:hAnsi="宋体" w:cs="宋体"/>
          <w:sz w:val="24"/>
          <w:szCs w:val="24"/>
        </w:rPr>
      </w:pPr>
      <w:r>
        <w:rPr>
          <w:rFonts w:hint="eastAsia" w:hAnsi="宋体" w:cs="宋体"/>
          <w:sz w:val="24"/>
          <w:szCs w:val="24"/>
        </w:rPr>
        <w:t>区域点数法总额预算下的病种分值付费（DIP）的本质是打包付费，同时也是一种有效且科学合理的医疗管理工具。为贯彻落实《省医疗保障局关于印发〈DIP、DIP支付方式改革三年行动计划〉的通知》、扬州市按病种分值付费(DIP)试点工作实施方案通知、江苏省医疗保障局江苏省卫健委信息化建设相关政策文件精神的相关要求，结合医院实际管理需要，我院需建立一套覆盖事前预警提醒、事中干预判断、事后决策分析三个层面需求的医院 DIP全流程提质控费系统。</w:t>
      </w:r>
    </w:p>
    <w:p w14:paraId="7DC88995">
      <w:pPr>
        <w:pStyle w:val="250"/>
        <w:spacing w:line="360" w:lineRule="auto"/>
        <w:ind w:firstLine="420"/>
        <w:rPr>
          <w:rFonts w:hAnsi="宋体" w:cs="宋体"/>
          <w:sz w:val="24"/>
          <w:szCs w:val="24"/>
        </w:rPr>
      </w:pPr>
      <w:r>
        <w:rPr>
          <w:rFonts w:hint="eastAsia" w:hAnsi="宋体" w:cs="宋体"/>
          <w:sz w:val="24"/>
          <w:szCs w:val="24"/>
        </w:rPr>
        <w:t>该系统将辅助医院在控制医疗费用、规范医疗行为、降低医疗成本、提高服务效率等方面进行运营监管，从而为管理决策层提供经营决策支持依据，实现对医院运营情况及时监控管理。以此改进与完善我院医疗质量管理体系，提高医疗服务水平。</w:t>
      </w:r>
    </w:p>
    <w:p w14:paraId="4E31C5BF">
      <w:pPr>
        <w:pStyle w:val="3"/>
        <w:numPr>
          <w:ilvl w:val="0"/>
          <w:numId w:val="2"/>
        </w:numPr>
        <w:spacing w:before="312" w:beforeLines="100" w:after="312" w:afterLines="100" w:line="360" w:lineRule="auto"/>
        <w:rPr>
          <w:rFonts w:ascii="宋体" w:hAnsi="宋体" w:cs="宋体"/>
          <w:kern w:val="2"/>
          <w:sz w:val="24"/>
          <w:szCs w:val="24"/>
          <w:shd w:val="clear" w:color="auto" w:fill="FFFFFF"/>
        </w:rPr>
      </w:pPr>
      <w:r>
        <w:rPr>
          <w:rFonts w:hint="eastAsia" w:ascii="宋体" w:hAnsi="宋体" w:cs="宋体"/>
          <w:kern w:val="2"/>
          <w:sz w:val="24"/>
          <w:szCs w:val="24"/>
          <w:shd w:val="clear" w:color="auto" w:fill="FFFFFF"/>
        </w:rPr>
        <w:t>招标要求</w:t>
      </w:r>
    </w:p>
    <w:p w14:paraId="045D205E">
      <w:pPr>
        <w:pStyle w:val="4"/>
        <w:spacing w:before="156" w:beforeLines="50" w:after="156" w:afterLines="50" w:line="360" w:lineRule="auto"/>
        <w:jc w:val="left"/>
        <w:rPr>
          <w:rFonts w:ascii="宋体" w:hAnsi="宋体" w:eastAsia="宋体" w:cs="宋体"/>
          <w:color w:val="333333"/>
          <w:kern w:val="2"/>
          <w:sz w:val="24"/>
          <w:szCs w:val="24"/>
          <w:shd w:val="clear" w:color="auto" w:fill="FFFFFF"/>
        </w:rPr>
      </w:pPr>
      <w:r>
        <w:rPr>
          <w:rFonts w:hint="eastAsia" w:ascii="宋体" w:hAnsi="宋体" w:eastAsia="宋体" w:cs="宋体"/>
          <w:color w:val="333333"/>
          <w:kern w:val="2"/>
          <w:sz w:val="24"/>
          <w:szCs w:val="24"/>
          <w:shd w:val="clear" w:color="auto" w:fill="FFFFFF"/>
        </w:rPr>
        <w:t>2.1 DIP运营管理系统</w:t>
      </w:r>
    </w:p>
    <w:p w14:paraId="532EF45C">
      <w:pPr>
        <w:pStyle w:val="5"/>
        <w:spacing w:line="360" w:lineRule="auto"/>
        <w:rPr>
          <w:rFonts w:ascii="宋体" w:hAnsi="宋体" w:cs="宋体"/>
          <w:sz w:val="24"/>
          <w:szCs w:val="24"/>
        </w:rPr>
      </w:pPr>
      <w:bookmarkStart w:id="30" w:name="_Toc169861480"/>
      <w:r>
        <w:rPr>
          <w:rFonts w:hint="eastAsia" w:ascii="宋体" w:hAnsi="宋体" w:cs="宋体"/>
          <w:b/>
          <w:bCs/>
          <w:sz w:val="24"/>
          <w:szCs w:val="24"/>
        </w:rPr>
        <w:t>2.1.1 前置审核接口</w:t>
      </w:r>
      <w:bookmarkEnd w:id="30"/>
    </w:p>
    <w:p w14:paraId="3330ACBC">
      <w:pPr>
        <w:pStyle w:val="284"/>
        <w:numPr>
          <w:ilvl w:val="0"/>
          <w:numId w:val="3"/>
        </w:numPr>
        <w:spacing w:line="360" w:lineRule="auto"/>
        <w:rPr>
          <w:rFonts w:ascii="宋体" w:hAnsi="宋体" w:eastAsia="宋体"/>
          <w:sz w:val="24"/>
          <w:szCs w:val="24"/>
        </w:rPr>
      </w:pPr>
      <w:r>
        <w:rPr>
          <w:rFonts w:hint="eastAsia" w:ascii="宋体" w:hAnsi="宋体" w:eastAsia="宋体"/>
          <w:sz w:val="24"/>
          <w:szCs w:val="24"/>
        </w:rPr>
        <w:t>智能分组</w:t>
      </w:r>
    </w:p>
    <w:p w14:paraId="2410C71C">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与院内系统进行集成，根据医院填写的信息与分组器的分析，自动推荐分组方案。</w:t>
      </w:r>
    </w:p>
    <w:p w14:paraId="0A95483E">
      <w:pPr>
        <w:pStyle w:val="284"/>
        <w:numPr>
          <w:ilvl w:val="0"/>
          <w:numId w:val="3"/>
        </w:numPr>
        <w:spacing w:line="360" w:lineRule="auto"/>
        <w:rPr>
          <w:rFonts w:ascii="宋体" w:hAnsi="宋体" w:eastAsia="宋体"/>
          <w:sz w:val="24"/>
          <w:szCs w:val="24"/>
        </w:rPr>
      </w:pPr>
      <w:r>
        <w:rPr>
          <w:rFonts w:hint="eastAsia" w:ascii="宋体" w:hAnsi="宋体" w:eastAsia="宋体"/>
          <w:sz w:val="24"/>
          <w:szCs w:val="24"/>
        </w:rPr>
        <w:t>费用超支预警</w:t>
      </w:r>
    </w:p>
    <w:p w14:paraId="4C539080">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能够根据入组审核结果的标准费用预测，与当前总费用进行比较，实现费用超支风险预警</w:t>
      </w:r>
    </w:p>
    <w:p w14:paraId="6DED2D6D">
      <w:pPr>
        <w:pStyle w:val="284"/>
        <w:numPr>
          <w:ilvl w:val="0"/>
          <w:numId w:val="3"/>
        </w:numPr>
        <w:spacing w:line="360" w:lineRule="auto"/>
        <w:rPr>
          <w:rFonts w:ascii="宋体" w:hAnsi="宋体" w:eastAsia="宋体"/>
          <w:sz w:val="24"/>
          <w:szCs w:val="24"/>
        </w:rPr>
      </w:pPr>
      <w:r>
        <w:rPr>
          <w:rFonts w:hint="eastAsia" w:ascii="宋体" w:hAnsi="宋体" w:eastAsia="宋体"/>
          <w:sz w:val="24"/>
          <w:szCs w:val="24"/>
        </w:rPr>
        <w:t>清单质控</w:t>
      </w:r>
    </w:p>
    <w:p w14:paraId="33ED46AE">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对于影响清单上传的，如灰码类审核，进行前置提示，以期在源头处进行质量控制。</w:t>
      </w:r>
    </w:p>
    <w:p w14:paraId="386FE9D8">
      <w:pPr>
        <w:pStyle w:val="5"/>
        <w:spacing w:line="360" w:lineRule="auto"/>
        <w:rPr>
          <w:rFonts w:ascii="宋体" w:hAnsi="宋体" w:cs="宋体"/>
          <w:b/>
          <w:bCs/>
          <w:sz w:val="24"/>
          <w:szCs w:val="24"/>
        </w:rPr>
      </w:pPr>
      <w:bookmarkStart w:id="31" w:name="_Toc169861481"/>
      <w:r>
        <w:rPr>
          <w:rFonts w:hint="eastAsia" w:ascii="宋体" w:hAnsi="宋体" w:cs="宋体"/>
          <w:b/>
          <w:bCs/>
          <w:sz w:val="24"/>
          <w:szCs w:val="24"/>
        </w:rPr>
        <w:t xml:space="preserve">2.1.2 </w:t>
      </w:r>
      <w:r>
        <w:rPr>
          <w:rFonts w:hint="eastAsia" w:ascii="宋体" w:hAnsi="宋体" w:cs="宋体"/>
          <w:b/>
          <w:bCs/>
          <w:color w:val="000000"/>
          <w:sz w:val="24"/>
          <w:szCs w:val="24"/>
        </w:rPr>
        <w:t>DIP预警与审核</w:t>
      </w:r>
      <w:bookmarkEnd w:id="31"/>
    </w:p>
    <w:p w14:paraId="38BD5509">
      <w:pPr>
        <w:pStyle w:val="284"/>
        <w:spacing w:line="360" w:lineRule="auto"/>
        <w:ind w:firstLine="0"/>
        <w:rPr>
          <w:rFonts w:ascii="宋体" w:hAnsi="宋体" w:eastAsia="宋体"/>
          <w:sz w:val="24"/>
          <w:szCs w:val="24"/>
        </w:rPr>
      </w:pPr>
      <w:r>
        <w:rPr>
          <w:rFonts w:hint="eastAsia" w:ascii="宋体" w:hAnsi="宋体" w:eastAsia="宋体"/>
          <w:sz w:val="24"/>
          <w:szCs w:val="24"/>
        </w:rPr>
        <w:t xml:space="preserve">   DIP智能审核与预警集结算清单数据质量审核、入组审核、医疗监管审核、费用超支结余预警等于一体，从全院审核总览细化至个案审核画像，从事前管理，事中干预，事后分析，实现清单全流程审核和费用超支预警。</w:t>
      </w:r>
    </w:p>
    <w:p w14:paraId="2908BA7F">
      <w:pPr>
        <w:pStyle w:val="284"/>
        <w:numPr>
          <w:ilvl w:val="0"/>
          <w:numId w:val="4"/>
        </w:numPr>
        <w:spacing w:line="360" w:lineRule="auto"/>
        <w:rPr>
          <w:rFonts w:ascii="宋体" w:hAnsi="宋体" w:eastAsia="宋体"/>
          <w:sz w:val="24"/>
          <w:szCs w:val="24"/>
        </w:rPr>
      </w:pPr>
      <w:r>
        <w:rPr>
          <w:rFonts w:hint="eastAsia" w:ascii="宋体" w:hAnsi="宋体" w:eastAsia="宋体"/>
          <w:sz w:val="24"/>
          <w:szCs w:val="24"/>
        </w:rPr>
        <w:t>▲智能审核预警</w:t>
      </w:r>
    </w:p>
    <w:p w14:paraId="4B64807E">
      <w:pPr>
        <w:pStyle w:val="284"/>
        <w:spacing w:line="360" w:lineRule="auto"/>
        <w:ind w:firstLine="480" w:firstLineChars="200"/>
        <w:rPr>
          <w:rFonts w:ascii="宋体" w:hAnsi="宋体" w:eastAsia="宋体"/>
          <w:sz w:val="24"/>
          <w:szCs w:val="24"/>
        </w:rPr>
      </w:pPr>
      <w:r>
        <w:rPr>
          <w:rFonts w:hint="eastAsia" w:ascii="宋体" w:hAnsi="宋体" w:eastAsia="宋体"/>
          <w:sz w:val="24"/>
          <w:szCs w:val="24"/>
        </w:rPr>
        <w:t>能提供智能审核功能，智能审核包括病例质控、入组审核、费用超支预警、不合规行为监控等内容，实现医保全方位管理智能分组</w:t>
      </w:r>
    </w:p>
    <w:p w14:paraId="12A2FE57">
      <w:pPr>
        <w:pStyle w:val="284"/>
        <w:numPr>
          <w:ilvl w:val="0"/>
          <w:numId w:val="4"/>
        </w:numPr>
        <w:spacing w:line="360" w:lineRule="auto"/>
        <w:rPr>
          <w:rFonts w:ascii="宋体" w:hAnsi="宋体" w:eastAsia="宋体"/>
          <w:sz w:val="24"/>
          <w:szCs w:val="24"/>
        </w:rPr>
      </w:pPr>
      <w:r>
        <w:rPr>
          <w:rFonts w:hint="eastAsia" w:ascii="宋体" w:hAnsi="宋体" w:eastAsia="宋体"/>
          <w:sz w:val="24"/>
          <w:szCs w:val="24"/>
        </w:rPr>
        <w:t>▲分组质控</w:t>
      </w:r>
    </w:p>
    <w:p w14:paraId="3E6DE17A">
      <w:pPr>
        <w:pStyle w:val="284"/>
        <w:spacing w:line="360" w:lineRule="auto"/>
        <w:ind w:firstLine="480" w:firstLineChars="200"/>
        <w:rPr>
          <w:rFonts w:ascii="宋体" w:hAnsi="宋体" w:eastAsia="宋体"/>
          <w:sz w:val="24"/>
          <w:szCs w:val="24"/>
        </w:rPr>
      </w:pPr>
      <w:r>
        <w:rPr>
          <w:rFonts w:hint="eastAsia" w:ascii="宋体" w:hAnsi="宋体" w:eastAsia="宋体"/>
          <w:sz w:val="24"/>
          <w:szCs w:val="24"/>
        </w:rPr>
        <w:t>针对医保DIP分组进行重点质控，以分组器返回的分组结果为依据，从无分组方案质控、诊断编码质控、医保排除质控等不同维度统计错误病例数及占比情况。</w:t>
      </w:r>
    </w:p>
    <w:p w14:paraId="5257BCA2">
      <w:pPr>
        <w:pStyle w:val="284"/>
        <w:numPr>
          <w:ilvl w:val="0"/>
          <w:numId w:val="4"/>
        </w:numPr>
        <w:spacing w:line="360" w:lineRule="auto"/>
        <w:rPr>
          <w:rFonts w:ascii="宋体" w:hAnsi="宋体" w:eastAsia="宋体"/>
          <w:sz w:val="24"/>
          <w:szCs w:val="24"/>
        </w:rPr>
      </w:pPr>
      <w:r>
        <w:rPr>
          <w:rFonts w:hint="eastAsia" w:ascii="宋体" w:hAnsi="宋体" w:eastAsia="宋体"/>
          <w:sz w:val="24"/>
          <w:szCs w:val="24"/>
        </w:rPr>
        <w:t>▲清单质控</w:t>
      </w:r>
    </w:p>
    <w:p w14:paraId="64569425">
      <w:pPr>
        <w:pStyle w:val="284"/>
        <w:spacing w:line="360" w:lineRule="auto"/>
        <w:ind w:firstLine="480" w:firstLineChars="200"/>
        <w:rPr>
          <w:rFonts w:ascii="宋体" w:hAnsi="宋体" w:eastAsia="宋体"/>
          <w:sz w:val="24"/>
          <w:szCs w:val="24"/>
        </w:rPr>
      </w:pPr>
      <w:r>
        <w:rPr>
          <w:rFonts w:hint="eastAsia" w:ascii="宋体" w:hAnsi="宋体" w:eastAsia="宋体"/>
          <w:sz w:val="24"/>
          <w:szCs w:val="24"/>
        </w:rPr>
        <w:t>清单质控按结算清单的指标分类，支持各类指标模块快速切换。清单质控融合了清单修改、修改结果实时测算、每日自动审核结果展示，质控问题快速定位等功能。</w:t>
      </w:r>
    </w:p>
    <w:p w14:paraId="06A5A1CA">
      <w:pPr>
        <w:pStyle w:val="284"/>
        <w:numPr>
          <w:ilvl w:val="0"/>
          <w:numId w:val="4"/>
        </w:numPr>
        <w:spacing w:line="360" w:lineRule="auto"/>
        <w:rPr>
          <w:rFonts w:ascii="宋体" w:hAnsi="宋体" w:eastAsia="宋体"/>
          <w:sz w:val="24"/>
          <w:szCs w:val="24"/>
        </w:rPr>
      </w:pPr>
      <w:r>
        <w:rPr>
          <w:rFonts w:hint="eastAsia" w:ascii="宋体" w:hAnsi="宋体" w:eastAsia="宋体"/>
          <w:sz w:val="24"/>
          <w:szCs w:val="24"/>
        </w:rPr>
        <w:t>修改跟踪记录分析</w:t>
      </w:r>
    </w:p>
    <w:p w14:paraId="2205418C">
      <w:pPr>
        <w:pStyle w:val="284"/>
        <w:spacing w:line="360" w:lineRule="auto"/>
        <w:ind w:firstLine="480" w:firstLineChars="200"/>
        <w:rPr>
          <w:rFonts w:ascii="宋体" w:hAnsi="宋体" w:eastAsia="宋体"/>
          <w:sz w:val="24"/>
          <w:szCs w:val="24"/>
        </w:rPr>
      </w:pPr>
      <w:r>
        <w:rPr>
          <w:rFonts w:hint="eastAsia" w:ascii="宋体" w:hAnsi="宋体" w:eastAsia="宋体"/>
          <w:sz w:val="24"/>
          <w:szCs w:val="24"/>
        </w:rPr>
        <w:t>系统需要提供修改跟踪记录分析页面，从而掌握医院结算清单整体的修改情况和修改变化趋势。</w:t>
      </w:r>
    </w:p>
    <w:p w14:paraId="68AB74B5">
      <w:pPr>
        <w:pStyle w:val="284"/>
        <w:numPr>
          <w:ilvl w:val="0"/>
          <w:numId w:val="4"/>
        </w:numPr>
        <w:spacing w:line="360" w:lineRule="auto"/>
        <w:rPr>
          <w:rFonts w:ascii="宋体" w:hAnsi="宋体" w:eastAsia="宋体"/>
          <w:sz w:val="24"/>
          <w:szCs w:val="24"/>
        </w:rPr>
      </w:pPr>
      <w:r>
        <w:rPr>
          <w:rFonts w:hint="eastAsia" w:ascii="宋体" w:hAnsi="宋体" w:eastAsia="宋体"/>
          <w:sz w:val="24"/>
          <w:szCs w:val="24"/>
        </w:rPr>
        <w:t>入组分析</w:t>
      </w:r>
    </w:p>
    <w:p w14:paraId="6FDA7959">
      <w:pPr>
        <w:pStyle w:val="284"/>
        <w:spacing w:line="360" w:lineRule="auto"/>
        <w:ind w:firstLine="480" w:firstLineChars="200"/>
        <w:rPr>
          <w:rFonts w:ascii="宋体" w:hAnsi="宋体" w:eastAsia="宋体"/>
          <w:sz w:val="24"/>
          <w:szCs w:val="24"/>
        </w:rPr>
      </w:pPr>
      <w:r>
        <w:rPr>
          <w:rFonts w:hint="eastAsia" w:ascii="宋体" w:hAnsi="宋体" w:eastAsia="宋体"/>
          <w:sz w:val="24"/>
          <w:szCs w:val="24"/>
        </w:rPr>
        <w:t>展示科室维度的病案数据入组情况，对总病案数、病组组数、排除病案数、入组病案数、未入组病案数等关键指标进行同比、环比分析，并提供下钻功能。</w:t>
      </w:r>
    </w:p>
    <w:p w14:paraId="70295F54">
      <w:pPr>
        <w:pStyle w:val="5"/>
        <w:spacing w:line="360" w:lineRule="auto"/>
        <w:rPr>
          <w:rFonts w:ascii="宋体" w:hAnsi="宋体" w:cs="宋体"/>
          <w:b/>
          <w:bCs/>
          <w:sz w:val="24"/>
          <w:szCs w:val="24"/>
        </w:rPr>
      </w:pPr>
      <w:bookmarkStart w:id="32" w:name="_Toc169861482"/>
      <w:r>
        <w:rPr>
          <w:rFonts w:hint="eastAsia" w:ascii="宋体" w:hAnsi="宋体" w:cs="宋体"/>
          <w:b/>
          <w:bCs/>
          <w:color w:val="000000"/>
          <w:sz w:val="24"/>
          <w:szCs w:val="24"/>
        </w:rPr>
        <w:t>2.1.3 医保付费分析</w:t>
      </w:r>
      <w:bookmarkEnd w:id="32"/>
    </w:p>
    <w:p w14:paraId="1A04CB69">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基于对接过来的结算清单数据进行质控和分组审核后，系统提供了从全院、科室、诊疗组、医师、病组等不同方向的医保付费分析功能，同时生成医保盈亏分析报告。</w:t>
      </w:r>
    </w:p>
    <w:p w14:paraId="68C7978D">
      <w:pPr>
        <w:pStyle w:val="284"/>
        <w:numPr>
          <w:ilvl w:val="0"/>
          <w:numId w:val="5"/>
        </w:numPr>
        <w:spacing w:line="360" w:lineRule="auto"/>
        <w:rPr>
          <w:rFonts w:ascii="宋体" w:hAnsi="宋体" w:eastAsia="宋体"/>
          <w:sz w:val="24"/>
          <w:szCs w:val="24"/>
        </w:rPr>
      </w:pPr>
      <w:r>
        <w:rPr>
          <w:rFonts w:hint="eastAsia" w:ascii="宋体" w:hAnsi="宋体" w:eastAsia="宋体"/>
          <w:sz w:val="24"/>
          <w:szCs w:val="24"/>
        </w:rPr>
        <w:t>▲总体分析</w:t>
      </w:r>
    </w:p>
    <w:p w14:paraId="523ACE7F">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对医保付费信息进行全院总体分析，关键数据包括全院总体点数、预测结算金额、原项目支付总额、预测盈亏金额、预测盈亏比、支付人数结构、费用占比、病例付费类型等。</w:t>
      </w:r>
    </w:p>
    <w:p w14:paraId="6077B407">
      <w:pPr>
        <w:pStyle w:val="284"/>
        <w:numPr>
          <w:ilvl w:val="0"/>
          <w:numId w:val="5"/>
        </w:numPr>
        <w:spacing w:line="360" w:lineRule="auto"/>
        <w:rPr>
          <w:rFonts w:ascii="宋体" w:hAnsi="宋体" w:eastAsia="宋体"/>
          <w:sz w:val="24"/>
          <w:szCs w:val="24"/>
        </w:rPr>
      </w:pPr>
      <w:r>
        <w:rPr>
          <w:rFonts w:hint="eastAsia" w:ascii="宋体" w:hAnsi="宋体" w:eastAsia="宋体"/>
          <w:sz w:val="24"/>
          <w:szCs w:val="24"/>
        </w:rPr>
        <w:t>支付盈亏分析：</w:t>
      </w:r>
    </w:p>
    <w:p w14:paraId="0DC79EE3">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对全院、科室、诊疗组等多纬度进行支付盈亏分析，包含按人群类型的盈亏金额、盈亏比、盈亏趋势分析，以及病例类型占比情况、各类型病组的结算差异情况等。</w:t>
      </w:r>
    </w:p>
    <w:p w14:paraId="74DD2DD1">
      <w:pPr>
        <w:pStyle w:val="284"/>
        <w:numPr>
          <w:ilvl w:val="0"/>
          <w:numId w:val="5"/>
        </w:numPr>
        <w:spacing w:line="360" w:lineRule="auto"/>
        <w:rPr>
          <w:rFonts w:ascii="宋体" w:hAnsi="宋体" w:eastAsia="宋体"/>
          <w:sz w:val="24"/>
          <w:szCs w:val="24"/>
        </w:rPr>
      </w:pPr>
      <w:r>
        <w:rPr>
          <w:rFonts w:hint="eastAsia" w:ascii="宋体" w:hAnsi="宋体" w:eastAsia="宋体"/>
          <w:sz w:val="24"/>
          <w:szCs w:val="24"/>
        </w:rPr>
        <w:t>DIP组盈亏分析：</w:t>
      </w:r>
    </w:p>
    <w:p w14:paraId="789DE15E">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分别以科室、医生、病组为分析维度，对医保付费信息进行统计分析，并按费用和效率指标赋予标签。针对病组维度，下钻至病组内部可查看该病组费用结构、例均费用最高的项目排名、该病组超支科室情况、该病组超支医生情况以及病例详情等病组数据。</w:t>
      </w:r>
    </w:p>
    <w:p w14:paraId="5AC69A3A">
      <w:pPr>
        <w:pStyle w:val="284"/>
        <w:numPr>
          <w:ilvl w:val="0"/>
          <w:numId w:val="5"/>
        </w:numPr>
        <w:spacing w:line="360" w:lineRule="auto"/>
        <w:rPr>
          <w:rFonts w:ascii="宋体" w:hAnsi="宋体" w:eastAsia="宋体"/>
          <w:sz w:val="24"/>
          <w:szCs w:val="24"/>
        </w:rPr>
      </w:pPr>
      <w:r>
        <w:rPr>
          <w:rFonts w:hint="eastAsia" w:ascii="宋体" w:hAnsi="宋体" w:eastAsia="宋体"/>
          <w:sz w:val="24"/>
          <w:szCs w:val="24"/>
        </w:rPr>
        <w:t>病例盈亏分析 ：</w:t>
      </w:r>
    </w:p>
    <w:p w14:paraId="064F4E47">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针对病例盈亏分析，对医保付费病例数据进行统计分析，下钻至病例内部可查看该病例费用结构情况、该病例费用最高的项目排名等病例数据。</w:t>
      </w:r>
    </w:p>
    <w:p w14:paraId="5CEB4D5A">
      <w:pPr>
        <w:pStyle w:val="284"/>
        <w:numPr>
          <w:ilvl w:val="0"/>
          <w:numId w:val="5"/>
        </w:numPr>
        <w:spacing w:line="360" w:lineRule="auto"/>
        <w:rPr>
          <w:rFonts w:ascii="宋体" w:hAnsi="宋体" w:eastAsia="宋体"/>
          <w:sz w:val="24"/>
          <w:szCs w:val="24"/>
        </w:rPr>
      </w:pPr>
      <w:r>
        <w:rPr>
          <w:rFonts w:hint="eastAsia" w:ascii="宋体" w:hAnsi="宋体" w:eastAsia="宋体"/>
          <w:sz w:val="24"/>
          <w:szCs w:val="24"/>
        </w:rPr>
        <w:t>指标趋势分析：</w:t>
      </w:r>
    </w:p>
    <w:p w14:paraId="370C4B2A">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对医院医保付费的关键指标进行趋势分析，包括：病案入组的病案类型占比、支付情况、病组覆盖及入组占比情况等，同时对院内科室与院内病组的超支结余情况与人次等指标进行分析。</w:t>
      </w:r>
    </w:p>
    <w:p w14:paraId="5252C2BF">
      <w:pPr>
        <w:pStyle w:val="284"/>
        <w:numPr>
          <w:ilvl w:val="0"/>
          <w:numId w:val="5"/>
        </w:numPr>
        <w:spacing w:line="360" w:lineRule="auto"/>
        <w:rPr>
          <w:rFonts w:ascii="宋体" w:hAnsi="宋体" w:eastAsia="宋体"/>
          <w:sz w:val="24"/>
          <w:szCs w:val="24"/>
        </w:rPr>
      </w:pPr>
      <w:r>
        <w:rPr>
          <w:rFonts w:hint="eastAsia" w:ascii="宋体" w:hAnsi="宋体" w:eastAsia="宋体"/>
          <w:sz w:val="24"/>
          <w:szCs w:val="24"/>
        </w:rPr>
        <w:t>▲盈亏分析报告：</w:t>
      </w:r>
    </w:p>
    <w:p w14:paraId="7C4DA80B">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系统根据全方位盈亏挖掘分析结果，一键式生成医院按病种分值付费（DIP）、床日、单病种、项目等多种支付方式的盈亏分析报告。报告支持按年度、月度、起止时间生成，支持图文表并茂展现，支持导出成word格式。</w:t>
      </w:r>
    </w:p>
    <w:p w14:paraId="04C62E90">
      <w:pPr>
        <w:pStyle w:val="5"/>
        <w:spacing w:line="360" w:lineRule="auto"/>
        <w:rPr>
          <w:rFonts w:ascii="宋体" w:hAnsi="宋体" w:cs="宋体"/>
          <w:b/>
          <w:bCs/>
          <w:sz w:val="24"/>
          <w:szCs w:val="24"/>
        </w:rPr>
      </w:pPr>
      <w:bookmarkStart w:id="33" w:name="_Toc169861483"/>
      <w:r>
        <w:rPr>
          <w:rFonts w:hint="eastAsia" w:ascii="宋体" w:hAnsi="宋体" w:cs="宋体"/>
          <w:b/>
          <w:bCs/>
          <w:color w:val="000000"/>
          <w:sz w:val="24"/>
          <w:szCs w:val="24"/>
        </w:rPr>
        <w:t>2.1.4 绩效考核评价</w:t>
      </w:r>
      <w:bookmarkEnd w:id="33"/>
    </w:p>
    <w:p w14:paraId="7911B002">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基于DIP分组规则，从全院、科室、病区、诊疗组、医师、个案、病组等维度分析挖掘医院的医疗服务能力和服务效率，并对负向指标进行监管，帮助医院查找优劣势专科，进而明确重点专科发展方向。</w:t>
      </w:r>
    </w:p>
    <w:p w14:paraId="3C40368C">
      <w:pPr>
        <w:pStyle w:val="284"/>
        <w:numPr>
          <w:ilvl w:val="0"/>
          <w:numId w:val="6"/>
        </w:numPr>
        <w:spacing w:line="360" w:lineRule="auto"/>
        <w:rPr>
          <w:rFonts w:ascii="宋体" w:hAnsi="宋体" w:eastAsia="宋体"/>
          <w:sz w:val="24"/>
          <w:szCs w:val="24"/>
        </w:rPr>
      </w:pPr>
      <w:r>
        <w:rPr>
          <w:rFonts w:hint="eastAsia" w:ascii="宋体" w:hAnsi="宋体" w:eastAsia="宋体"/>
          <w:color w:val="000000"/>
          <w:kern w:val="0"/>
          <w:sz w:val="24"/>
          <w:szCs w:val="24"/>
        </w:rPr>
        <w:t>▲</w:t>
      </w:r>
      <w:r>
        <w:rPr>
          <w:rFonts w:hint="eastAsia" w:ascii="宋体" w:hAnsi="宋体" w:eastAsia="宋体"/>
          <w:sz w:val="24"/>
          <w:szCs w:val="24"/>
        </w:rPr>
        <w:t>医疗能力发展</w:t>
      </w:r>
    </w:p>
    <w:p w14:paraId="76D8EE46">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从病组覆盖情况、能力指数情况、外科手术情况、病组RW构成、科室工作量等分析医院医疗能力发展情况</w:t>
      </w:r>
    </w:p>
    <w:p w14:paraId="25FCFD8F">
      <w:pPr>
        <w:pStyle w:val="284"/>
        <w:numPr>
          <w:ilvl w:val="0"/>
          <w:numId w:val="6"/>
        </w:numPr>
        <w:spacing w:line="360" w:lineRule="auto"/>
        <w:rPr>
          <w:rFonts w:ascii="宋体" w:hAnsi="宋体" w:eastAsia="宋体"/>
          <w:sz w:val="24"/>
          <w:szCs w:val="24"/>
        </w:rPr>
      </w:pPr>
      <w:r>
        <w:rPr>
          <w:rFonts w:hint="eastAsia" w:ascii="宋体" w:hAnsi="宋体" w:eastAsia="宋体"/>
          <w:sz w:val="24"/>
          <w:szCs w:val="24"/>
        </w:rPr>
        <w:t>运营效率分析</w:t>
      </w:r>
    </w:p>
    <w:p w14:paraId="037D97C6">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从全院、科室、诊疗组、病组等维度分析平均住院日、时间消耗指数、费用消耗指数等指标以图表相结合的形式分析医院运行效率。</w:t>
      </w:r>
    </w:p>
    <w:p w14:paraId="03BD0C25">
      <w:pPr>
        <w:pStyle w:val="284"/>
        <w:numPr>
          <w:ilvl w:val="0"/>
          <w:numId w:val="6"/>
        </w:numPr>
        <w:spacing w:line="360" w:lineRule="auto"/>
        <w:rPr>
          <w:rFonts w:ascii="宋体" w:hAnsi="宋体" w:eastAsia="宋体"/>
          <w:sz w:val="24"/>
          <w:szCs w:val="24"/>
        </w:rPr>
      </w:pPr>
      <w:r>
        <w:rPr>
          <w:rFonts w:hint="eastAsia" w:ascii="宋体" w:hAnsi="宋体" w:eastAsia="宋体"/>
          <w:sz w:val="24"/>
          <w:szCs w:val="24"/>
        </w:rPr>
        <w:t>控费成效分析</w:t>
      </w:r>
    </w:p>
    <w:p w14:paraId="4A6294EB">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提供了CMI变化率、组数变化率、均次费用变化率和平均住院天数变化率的增减情况</w:t>
      </w:r>
    </w:p>
    <w:p w14:paraId="388AF751">
      <w:pPr>
        <w:pStyle w:val="284"/>
        <w:numPr>
          <w:ilvl w:val="0"/>
          <w:numId w:val="6"/>
        </w:numPr>
        <w:spacing w:line="360" w:lineRule="auto"/>
        <w:rPr>
          <w:rFonts w:ascii="宋体" w:hAnsi="宋体" w:eastAsia="宋体"/>
          <w:sz w:val="24"/>
          <w:szCs w:val="24"/>
        </w:rPr>
      </w:pPr>
      <w:r>
        <w:rPr>
          <w:rFonts w:hint="eastAsia" w:ascii="宋体" w:hAnsi="宋体" w:eastAsia="宋体"/>
          <w:sz w:val="24"/>
          <w:szCs w:val="24"/>
        </w:rPr>
        <w:t>负向指标监管</w:t>
      </w:r>
    </w:p>
    <w:p w14:paraId="3BB3728D">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从全院、科室、时间维度对两周内再住院数、低标入院病例数、超长住院病例数、死亡人数、低风险死亡病例数、中低风险死亡病例数等指标进行监管分析</w:t>
      </w:r>
    </w:p>
    <w:p w14:paraId="6886A4ED">
      <w:pPr>
        <w:pStyle w:val="284"/>
        <w:numPr>
          <w:ilvl w:val="0"/>
          <w:numId w:val="6"/>
        </w:numPr>
        <w:spacing w:line="360" w:lineRule="auto"/>
        <w:rPr>
          <w:rFonts w:ascii="宋体" w:hAnsi="宋体" w:eastAsia="宋体"/>
          <w:sz w:val="24"/>
          <w:szCs w:val="24"/>
        </w:rPr>
      </w:pPr>
      <w:r>
        <w:rPr>
          <w:rFonts w:hint="eastAsia" w:ascii="宋体" w:hAnsi="宋体" w:eastAsia="宋体"/>
          <w:color w:val="000000"/>
          <w:kern w:val="0"/>
          <w:sz w:val="24"/>
          <w:szCs w:val="24"/>
        </w:rPr>
        <w:t>▲</w:t>
      </w:r>
      <w:r>
        <w:rPr>
          <w:rFonts w:hint="eastAsia" w:ascii="宋体" w:hAnsi="宋体" w:eastAsia="宋体"/>
          <w:sz w:val="24"/>
          <w:szCs w:val="24"/>
        </w:rPr>
        <w:t>科室/病种象限分析</w:t>
      </w:r>
    </w:p>
    <w:p w14:paraId="3BB9C814">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CMI与结余来对各科室进行分析，定位优劣势科室，进而明确重点专科发展方向。</w:t>
      </w:r>
    </w:p>
    <w:p w14:paraId="4AD5FE48">
      <w:pPr>
        <w:pStyle w:val="5"/>
        <w:spacing w:line="360" w:lineRule="auto"/>
        <w:rPr>
          <w:rFonts w:ascii="宋体" w:hAnsi="宋体" w:cs="宋体"/>
          <w:b/>
          <w:bCs/>
          <w:sz w:val="24"/>
          <w:szCs w:val="24"/>
        </w:rPr>
      </w:pPr>
      <w:bookmarkStart w:id="34" w:name="_Toc169861484"/>
      <w:r>
        <w:rPr>
          <w:rFonts w:hint="eastAsia" w:ascii="宋体" w:hAnsi="宋体" w:cs="宋体"/>
          <w:b/>
          <w:bCs/>
          <w:sz w:val="24"/>
          <w:szCs w:val="24"/>
        </w:rPr>
        <w:t xml:space="preserve">2.1.5 </w:t>
      </w:r>
      <w:r>
        <w:rPr>
          <w:rFonts w:hint="eastAsia" w:ascii="宋体" w:hAnsi="宋体" w:cs="宋体"/>
          <w:b/>
          <w:bCs/>
          <w:color w:val="000000"/>
          <w:sz w:val="24"/>
          <w:szCs w:val="24"/>
        </w:rPr>
        <w:t>数据管理与监控</w:t>
      </w:r>
      <w:bookmarkEnd w:id="34"/>
    </w:p>
    <w:p w14:paraId="1AAF3C0D">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将与HIS/EMR对接的结算清单数据和医保反馈数据统一管理，支持在系统中实现医保对账和医保申诉管理；对于审核无误的结算清单支持自动和手动上传至省医保平台，并对结算清单数据从对接到上传全过程监控，确保问题及时调整。</w:t>
      </w:r>
    </w:p>
    <w:p w14:paraId="41B35DCE">
      <w:pPr>
        <w:pStyle w:val="284"/>
        <w:numPr>
          <w:ilvl w:val="0"/>
          <w:numId w:val="7"/>
        </w:numPr>
        <w:spacing w:line="360" w:lineRule="auto"/>
        <w:rPr>
          <w:rFonts w:ascii="宋体" w:hAnsi="宋体" w:eastAsia="宋体"/>
          <w:sz w:val="24"/>
          <w:szCs w:val="24"/>
        </w:rPr>
      </w:pPr>
      <w:r>
        <w:rPr>
          <w:rFonts w:hint="eastAsia" w:ascii="宋体" w:hAnsi="宋体" w:eastAsia="宋体"/>
          <w:sz w:val="24"/>
          <w:szCs w:val="24"/>
        </w:rPr>
        <w:t>▲清单上传管理</w:t>
      </w:r>
    </w:p>
    <w:p w14:paraId="6729D3E1">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对接过来的结算清单数据，系统提供了统一的管理页面。支持自动、手动上传至医保平台，同时提供上传结果日志，用于监控清单上传情况。同时与清单修改结合，上传失败直接定位修改。</w:t>
      </w:r>
    </w:p>
    <w:p w14:paraId="30EA047A">
      <w:pPr>
        <w:pStyle w:val="284"/>
        <w:numPr>
          <w:ilvl w:val="0"/>
          <w:numId w:val="7"/>
        </w:numPr>
        <w:spacing w:line="360" w:lineRule="auto"/>
        <w:rPr>
          <w:rFonts w:ascii="宋体" w:hAnsi="宋体" w:eastAsia="宋体"/>
          <w:sz w:val="24"/>
          <w:szCs w:val="24"/>
        </w:rPr>
      </w:pPr>
      <w:r>
        <w:rPr>
          <w:rFonts w:hint="eastAsia" w:ascii="宋体" w:hAnsi="宋体" w:eastAsia="宋体"/>
          <w:color w:val="000000"/>
          <w:kern w:val="0"/>
          <w:sz w:val="24"/>
          <w:szCs w:val="24"/>
        </w:rPr>
        <w:t>▲</w:t>
      </w:r>
      <w:r>
        <w:rPr>
          <w:rFonts w:hint="eastAsia" w:ascii="宋体" w:hAnsi="宋体" w:eastAsia="宋体"/>
          <w:sz w:val="24"/>
          <w:szCs w:val="24"/>
        </w:rPr>
        <w:t>清单统计</w:t>
      </w:r>
    </w:p>
    <w:p w14:paraId="53393003">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提供每日清单量统计功能，提供清单锁定、解锁功能，医保待传清单、接入清单、已传清单、双向匹配清单数等统计核查功能。</w:t>
      </w:r>
    </w:p>
    <w:p w14:paraId="185D25D7">
      <w:pPr>
        <w:pStyle w:val="284"/>
        <w:numPr>
          <w:ilvl w:val="0"/>
          <w:numId w:val="7"/>
        </w:numPr>
        <w:spacing w:line="360" w:lineRule="auto"/>
        <w:rPr>
          <w:rFonts w:ascii="宋体" w:hAnsi="宋体" w:eastAsia="宋体"/>
          <w:sz w:val="24"/>
          <w:szCs w:val="24"/>
        </w:rPr>
      </w:pPr>
      <w:r>
        <w:rPr>
          <w:rFonts w:hint="eastAsia" w:ascii="宋体" w:hAnsi="宋体" w:eastAsia="宋体"/>
          <w:color w:val="000000"/>
          <w:kern w:val="0"/>
          <w:sz w:val="24"/>
          <w:szCs w:val="24"/>
        </w:rPr>
        <w:t>▲</w:t>
      </w:r>
      <w:r>
        <w:rPr>
          <w:rFonts w:hint="eastAsia" w:ascii="宋体" w:hAnsi="宋体" w:eastAsia="宋体"/>
          <w:sz w:val="24"/>
          <w:szCs w:val="24"/>
        </w:rPr>
        <w:t>医保反馈管理</w:t>
      </w:r>
    </w:p>
    <w:p w14:paraId="1D0929FF">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提供医保反馈数据一键导入即时分析功能，分析内容含全院、科室、病种、年月、结算率等不同主题分析，而所有病种数、病例数均可下钻。</w:t>
      </w:r>
    </w:p>
    <w:p w14:paraId="67ED83AF">
      <w:pPr>
        <w:pStyle w:val="284"/>
        <w:numPr>
          <w:ilvl w:val="0"/>
          <w:numId w:val="7"/>
        </w:numPr>
        <w:spacing w:line="360" w:lineRule="auto"/>
        <w:rPr>
          <w:rFonts w:ascii="宋体" w:hAnsi="宋体" w:eastAsia="宋体"/>
          <w:sz w:val="24"/>
          <w:szCs w:val="24"/>
        </w:rPr>
      </w:pPr>
      <w:r>
        <w:rPr>
          <w:rFonts w:hint="eastAsia" w:ascii="宋体" w:hAnsi="宋体" w:eastAsia="宋体"/>
          <w:sz w:val="24"/>
          <w:szCs w:val="24"/>
        </w:rPr>
        <w:t>▲医保对账分析</w:t>
      </w:r>
    </w:p>
    <w:p w14:paraId="3AFCF80A">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对于DIP系统、医保4103上传结果、医保反馈结果进行三方数据对账分析，确保数据准确上传。年终清算不一致数据快速定位、重传。</w:t>
      </w:r>
    </w:p>
    <w:p w14:paraId="15DBA721">
      <w:pPr>
        <w:pStyle w:val="5"/>
        <w:spacing w:line="360" w:lineRule="auto"/>
        <w:rPr>
          <w:rFonts w:ascii="宋体" w:hAnsi="宋体" w:cs="宋体"/>
          <w:b/>
          <w:bCs/>
          <w:sz w:val="24"/>
          <w:szCs w:val="24"/>
        </w:rPr>
      </w:pPr>
      <w:bookmarkStart w:id="35" w:name="_Toc169861485"/>
      <w:r>
        <w:rPr>
          <w:rFonts w:hint="eastAsia" w:ascii="宋体" w:hAnsi="宋体" w:cs="宋体"/>
          <w:b/>
          <w:bCs/>
          <w:sz w:val="24"/>
          <w:szCs w:val="24"/>
        </w:rPr>
        <w:t>2.1.6 DIP知识库管理</w:t>
      </w:r>
      <w:bookmarkEnd w:id="35"/>
    </w:p>
    <w:p w14:paraId="23DE3804">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将病组目录库、医保编码等形成知识库进行统一管理，且知识库支持知识累积和知识扩展。</w:t>
      </w:r>
    </w:p>
    <w:p w14:paraId="5823402A">
      <w:pPr>
        <w:pStyle w:val="284"/>
        <w:numPr>
          <w:ilvl w:val="0"/>
          <w:numId w:val="8"/>
        </w:numPr>
        <w:spacing w:line="360" w:lineRule="auto"/>
        <w:rPr>
          <w:rFonts w:ascii="宋体" w:hAnsi="宋体" w:eastAsia="宋体"/>
          <w:sz w:val="24"/>
          <w:szCs w:val="24"/>
        </w:rPr>
      </w:pPr>
      <w:r>
        <w:rPr>
          <w:rFonts w:hint="eastAsia" w:ascii="宋体" w:hAnsi="宋体" w:eastAsia="宋体"/>
          <w:color w:val="000000"/>
          <w:kern w:val="0"/>
          <w:sz w:val="24"/>
          <w:szCs w:val="24"/>
        </w:rPr>
        <w:t>▲</w:t>
      </w:r>
      <w:r>
        <w:rPr>
          <w:rFonts w:hint="eastAsia" w:ascii="宋体" w:hAnsi="宋体" w:eastAsia="宋体"/>
          <w:sz w:val="24"/>
          <w:szCs w:val="24"/>
        </w:rPr>
        <w:t>病组目录库</w:t>
      </w:r>
    </w:p>
    <w:p w14:paraId="206B93BF">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支持病组目录按年度更新维护，各版本病组目录查询、检索、下载。</w:t>
      </w:r>
    </w:p>
    <w:p w14:paraId="47AA9A51">
      <w:pPr>
        <w:pStyle w:val="284"/>
        <w:numPr>
          <w:ilvl w:val="0"/>
          <w:numId w:val="8"/>
        </w:numPr>
        <w:spacing w:line="360" w:lineRule="auto"/>
        <w:rPr>
          <w:rFonts w:ascii="宋体" w:hAnsi="宋体" w:eastAsia="宋体"/>
          <w:sz w:val="24"/>
          <w:szCs w:val="24"/>
        </w:rPr>
      </w:pPr>
      <w:r>
        <w:rPr>
          <w:rFonts w:hint="eastAsia" w:ascii="宋体" w:hAnsi="宋体" w:eastAsia="宋体"/>
          <w:color w:val="000000"/>
          <w:kern w:val="0"/>
          <w:sz w:val="24"/>
          <w:szCs w:val="24"/>
        </w:rPr>
        <w:t>▲</w:t>
      </w:r>
      <w:r>
        <w:rPr>
          <w:rFonts w:hint="eastAsia" w:ascii="宋体" w:hAnsi="宋体" w:eastAsia="宋体"/>
          <w:sz w:val="24"/>
          <w:szCs w:val="24"/>
        </w:rPr>
        <w:t>医保编码库</w:t>
      </w:r>
    </w:p>
    <w:p w14:paraId="10957335">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支持ICD10、ICD9医保版、临床版、映射版，等不同版本目录管理。</w:t>
      </w:r>
    </w:p>
    <w:p w14:paraId="757576F5">
      <w:pPr>
        <w:pStyle w:val="284"/>
        <w:numPr>
          <w:ilvl w:val="0"/>
          <w:numId w:val="8"/>
        </w:numPr>
        <w:spacing w:line="360" w:lineRule="auto"/>
        <w:rPr>
          <w:rFonts w:ascii="宋体" w:hAnsi="宋体" w:eastAsia="宋体"/>
          <w:sz w:val="24"/>
          <w:szCs w:val="24"/>
        </w:rPr>
      </w:pPr>
      <w:r>
        <w:rPr>
          <w:rFonts w:hint="eastAsia" w:ascii="宋体" w:hAnsi="宋体" w:eastAsia="宋体"/>
          <w:sz w:val="24"/>
          <w:szCs w:val="24"/>
        </w:rPr>
        <w:t>质控规则库</w:t>
      </w:r>
    </w:p>
    <w:p w14:paraId="4D279A2A">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支持清单质控规则拓展维护和查询功能。</w:t>
      </w:r>
    </w:p>
    <w:p w14:paraId="3DE1CA8F">
      <w:pPr>
        <w:pStyle w:val="5"/>
        <w:spacing w:line="360" w:lineRule="auto"/>
        <w:rPr>
          <w:rFonts w:ascii="宋体" w:hAnsi="宋体" w:cs="宋体"/>
          <w:sz w:val="24"/>
          <w:szCs w:val="24"/>
        </w:rPr>
      </w:pPr>
      <w:bookmarkStart w:id="36" w:name="_Toc169861486"/>
      <w:r>
        <w:rPr>
          <w:rFonts w:hint="eastAsia" w:ascii="宋体" w:hAnsi="宋体" w:cs="宋体"/>
          <w:b/>
          <w:bCs/>
          <w:sz w:val="24"/>
          <w:szCs w:val="24"/>
        </w:rPr>
        <w:t>2.1.7 系统管理</w:t>
      </w:r>
      <w:bookmarkEnd w:id="36"/>
    </w:p>
    <w:p w14:paraId="7BFB5D35">
      <w:pPr>
        <w:pStyle w:val="284"/>
        <w:numPr>
          <w:ilvl w:val="0"/>
          <w:numId w:val="9"/>
        </w:numPr>
        <w:spacing w:line="360" w:lineRule="auto"/>
        <w:rPr>
          <w:rFonts w:ascii="宋体" w:hAnsi="宋体" w:eastAsia="宋体"/>
          <w:sz w:val="24"/>
          <w:szCs w:val="24"/>
        </w:rPr>
      </w:pPr>
      <w:r>
        <w:rPr>
          <w:rFonts w:hint="eastAsia" w:ascii="宋体" w:hAnsi="宋体" w:eastAsia="宋体"/>
          <w:sz w:val="24"/>
          <w:szCs w:val="24"/>
        </w:rPr>
        <w:t>用户管理</w:t>
      </w:r>
    </w:p>
    <w:p w14:paraId="4F806DE1">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支持用户账号、密码、权限等增、删、改操作。</w:t>
      </w:r>
    </w:p>
    <w:p w14:paraId="73A59B0F">
      <w:pPr>
        <w:pStyle w:val="284"/>
        <w:numPr>
          <w:ilvl w:val="0"/>
          <w:numId w:val="9"/>
        </w:numPr>
        <w:spacing w:line="360" w:lineRule="auto"/>
        <w:rPr>
          <w:rFonts w:ascii="宋体" w:hAnsi="宋体" w:eastAsia="宋体"/>
          <w:sz w:val="24"/>
          <w:szCs w:val="24"/>
        </w:rPr>
      </w:pPr>
      <w:r>
        <w:rPr>
          <w:rFonts w:hint="eastAsia" w:ascii="宋体" w:hAnsi="宋体" w:eastAsia="宋体"/>
          <w:sz w:val="24"/>
          <w:szCs w:val="24"/>
        </w:rPr>
        <w:t>科室管理</w:t>
      </w:r>
    </w:p>
    <w:p w14:paraId="01D1AD2B">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支持按院内科室进行维护，包含科室的新增、修改、停用，与标准科室码对照等功能。</w:t>
      </w:r>
    </w:p>
    <w:p w14:paraId="2071DBCA">
      <w:pPr>
        <w:pStyle w:val="284"/>
        <w:numPr>
          <w:ilvl w:val="0"/>
          <w:numId w:val="9"/>
        </w:numPr>
        <w:spacing w:line="360" w:lineRule="auto"/>
        <w:rPr>
          <w:rFonts w:ascii="宋体" w:hAnsi="宋体" w:eastAsia="宋体"/>
          <w:sz w:val="24"/>
          <w:szCs w:val="24"/>
        </w:rPr>
      </w:pPr>
      <w:r>
        <w:rPr>
          <w:rFonts w:hint="eastAsia" w:ascii="宋体" w:hAnsi="宋体" w:eastAsia="宋体"/>
          <w:sz w:val="24"/>
          <w:szCs w:val="24"/>
        </w:rPr>
        <w:t>权限管理</w:t>
      </w:r>
    </w:p>
    <w:p w14:paraId="7F109FE7">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支持按角色进行资源、数据范围管理。</w:t>
      </w:r>
    </w:p>
    <w:p w14:paraId="7725CB29">
      <w:pPr>
        <w:pStyle w:val="5"/>
        <w:spacing w:line="360" w:lineRule="auto"/>
        <w:rPr>
          <w:rFonts w:ascii="宋体" w:hAnsi="宋体" w:cs="宋体"/>
          <w:b/>
          <w:bCs/>
          <w:sz w:val="24"/>
          <w:szCs w:val="24"/>
        </w:rPr>
      </w:pPr>
      <w:bookmarkStart w:id="37" w:name="_Toc169861487"/>
      <w:r>
        <w:rPr>
          <w:rFonts w:hint="eastAsia" w:ascii="宋体" w:hAnsi="宋体" w:cs="宋体"/>
          <w:b/>
          <w:bCs/>
          <w:sz w:val="24"/>
          <w:szCs w:val="24"/>
        </w:rPr>
        <w:t>2.1.8 系统接口</w:t>
      </w:r>
      <w:bookmarkEnd w:id="37"/>
    </w:p>
    <w:p w14:paraId="7AA0CE09">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本项目需与院内HIS、电子病历等系统集成。</w:t>
      </w:r>
    </w:p>
    <w:p w14:paraId="00C07207">
      <w:pPr>
        <w:pStyle w:val="4"/>
        <w:spacing w:before="156" w:beforeLines="50" w:after="156" w:afterLines="50" w:line="360" w:lineRule="auto"/>
        <w:jc w:val="left"/>
        <w:rPr>
          <w:rFonts w:ascii="宋体" w:hAnsi="宋体" w:eastAsia="宋体" w:cs="宋体"/>
          <w:color w:val="333333"/>
          <w:kern w:val="2"/>
          <w:sz w:val="24"/>
          <w:szCs w:val="24"/>
          <w:shd w:val="clear" w:color="auto" w:fill="FFFFFF"/>
        </w:rPr>
      </w:pPr>
      <w:r>
        <w:rPr>
          <w:rFonts w:hint="eastAsia" w:ascii="宋体" w:hAnsi="宋体" w:eastAsia="宋体" w:cs="宋体"/>
          <w:color w:val="333333"/>
          <w:kern w:val="2"/>
          <w:sz w:val="24"/>
          <w:szCs w:val="24"/>
          <w:shd w:val="clear" w:color="auto" w:fill="FFFFFF"/>
        </w:rPr>
        <w:t>2.2 医保智能监控系统</w:t>
      </w:r>
    </w:p>
    <w:p w14:paraId="7FECC21D">
      <w:pPr>
        <w:pStyle w:val="5"/>
        <w:spacing w:before="156" w:beforeLines="50" w:after="156" w:afterLines="50" w:line="360" w:lineRule="auto"/>
        <w:rPr>
          <w:rFonts w:ascii="宋体" w:hAnsi="宋体" w:cs="宋体"/>
          <w:b/>
          <w:bCs/>
          <w:sz w:val="24"/>
          <w:szCs w:val="24"/>
        </w:rPr>
      </w:pPr>
      <w:r>
        <w:rPr>
          <w:rFonts w:hint="eastAsia" w:ascii="宋体" w:hAnsi="宋体" w:cs="宋体"/>
          <w:b/>
          <w:bCs/>
          <w:sz w:val="24"/>
          <w:szCs w:val="24"/>
        </w:rPr>
        <w:t xml:space="preserve">2.2.1 </w:t>
      </w:r>
      <w:r>
        <w:rPr>
          <w:rFonts w:hint="eastAsia" w:ascii="宋体" w:hAnsi="宋体" w:cs="宋体"/>
          <w:color w:val="000000"/>
          <w:sz w:val="24"/>
          <w:szCs w:val="24"/>
        </w:rPr>
        <w:t>▲</w:t>
      </w:r>
      <w:bookmarkStart w:id="38" w:name="OLE_LINK2"/>
      <w:r>
        <w:rPr>
          <w:rFonts w:hint="eastAsia" w:ascii="宋体" w:hAnsi="宋体" w:cs="宋体"/>
          <w:b/>
          <w:bCs/>
          <w:sz w:val="24"/>
          <w:szCs w:val="24"/>
        </w:rPr>
        <w:t>医保审核知识库管理</w:t>
      </w:r>
      <w:bookmarkEnd w:id="38"/>
    </w:p>
    <w:p w14:paraId="195F58F0">
      <w:pPr>
        <w:pStyle w:val="284"/>
        <w:spacing w:line="360" w:lineRule="auto"/>
        <w:ind w:left="0" w:leftChars="0" w:firstLine="480" w:firstLineChars="200"/>
        <w:rPr>
          <w:rFonts w:ascii="宋体" w:hAnsi="宋体" w:eastAsia="宋体"/>
          <w:sz w:val="24"/>
          <w:szCs w:val="24"/>
        </w:rPr>
      </w:pPr>
      <w:r>
        <w:rPr>
          <w:rFonts w:ascii="宋体" w:hAnsi="宋体" w:eastAsia="宋体"/>
          <w:sz w:val="24"/>
          <w:szCs w:val="24"/>
        </w:rPr>
        <w:t>支持审核规则知识库建立、修改、查询、维护等功能。支持医保目录库的查询检索等</w:t>
      </w:r>
    </w:p>
    <w:p w14:paraId="6B5FF19F">
      <w:pPr>
        <w:pStyle w:val="5"/>
        <w:spacing w:before="156" w:beforeLines="50" w:after="156" w:afterLines="50" w:line="360" w:lineRule="auto"/>
        <w:rPr>
          <w:rFonts w:ascii="宋体" w:hAnsi="宋体" w:cs="宋体"/>
          <w:b/>
          <w:bCs/>
          <w:sz w:val="24"/>
          <w:szCs w:val="24"/>
        </w:rPr>
      </w:pPr>
      <w:r>
        <w:rPr>
          <w:rFonts w:hint="eastAsia" w:ascii="宋体" w:hAnsi="宋体" w:cs="宋体"/>
          <w:b/>
          <w:bCs/>
          <w:sz w:val="24"/>
          <w:szCs w:val="24"/>
        </w:rPr>
        <w:t xml:space="preserve">2.2.2 </w:t>
      </w:r>
      <w:r>
        <w:rPr>
          <w:rFonts w:hint="eastAsia" w:ascii="宋体" w:hAnsi="宋体" w:cs="宋体"/>
          <w:color w:val="000000"/>
          <w:sz w:val="24"/>
          <w:szCs w:val="24"/>
        </w:rPr>
        <w:t>▲</w:t>
      </w:r>
      <w:r>
        <w:rPr>
          <w:rFonts w:hint="eastAsia" w:ascii="宋体" w:hAnsi="宋体" w:cs="宋体"/>
          <w:b/>
          <w:bCs/>
          <w:sz w:val="24"/>
          <w:szCs w:val="24"/>
        </w:rPr>
        <w:t>住院事前实时审核</w:t>
      </w:r>
    </w:p>
    <w:p w14:paraId="736E6498">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通过与HIS、EMR集成，实时预警医生开立的住院医嘱审核医保违规，实现对医疗收费行为的实时监控</w:t>
      </w:r>
    </w:p>
    <w:p w14:paraId="382A6F55">
      <w:pPr>
        <w:pStyle w:val="5"/>
        <w:spacing w:before="156" w:beforeLines="50" w:after="156" w:afterLines="50" w:line="360" w:lineRule="auto"/>
        <w:rPr>
          <w:rFonts w:ascii="宋体" w:hAnsi="宋体" w:cs="宋体"/>
          <w:b/>
          <w:bCs/>
          <w:sz w:val="24"/>
          <w:szCs w:val="24"/>
        </w:rPr>
      </w:pPr>
      <w:r>
        <w:rPr>
          <w:rFonts w:hint="eastAsia" w:ascii="宋体" w:hAnsi="宋体" w:cs="宋体"/>
          <w:b/>
          <w:bCs/>
          <w:sz w:val="24"/>
          <w:szCs w:val="24"/>
        </w:rPr>
        <w:t>2.2.3 住院事中审核</w:t>
      </w:r>
    </w:p>
    <w:p w14:paraId="249FDE25">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定时增量同步患者前一日的医嘱明细、费用明细等数据，并在住院期间每日对患者的单次就诊进行审核监控，监控内容基于医师开具的住院单据。提供在院患者疑似违规预警记录功能，对提醒临床的疑似违规行为进行记录。</w:t>
      </w:r>
    </w:p>
    <w:p w14:paraId="5B8E310D">
      <w:pPr>
        <w:pStyle w:val="5"/>
        <w:spacing w:before="156" w:beforeLines="50" w:after="156" w:afterLines="50" w:line="360" w:lineRule="auto"/>
        <w:rPr>
          <w:rFonts w:ascii="宋体" w:hAnsi="宋体" w:cs="宋体"/>
          <w:sz w:val="24"/>
          <w:szCs w:val="24"/>
        </w:rPr>
      </w:pPr>
      <w:r>
        <w:rPr>
          <w:rFonts w:hint="eastAsia" w:ascii="宋体" w:hAnsi="宋体" w:cs="宋体"/>
          <w:b/>
          <w:bCs/>
          <w:sz w:val="24"/>
          <w:szCs w:val="24"/>
        </w:rPr>
        <w:t>2.2.4 出院实时审核</w:t>
      </w:r>
    </w:p>
    <w:p w14:paraId="163A7657">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预出院环节的审核前置功能，支持一次性对所有离院前的诊疗服务数据进行监控审核。</w:t>
      </w:r>
    </w:p>
    <w:p w14:paraId="1D480186">
      <w:pPr>
        <w:pStyle w:val="5"/>
        <w:spacing w:before="156" w:beforeLines="50" w:after="156" w:afterLines="50" w:line="360" w:lineRule="auto"/>
        <w:rPr>
          <w:rFonts w:ascii="宋体" w:hAnsi="宋体" w:cs="宋体"/>
          <w:b/>
          <w:bCs/>
          <w:sz w:val="24"/>
          <w:szCs w:val="24"/>
        </w:rPr>
      </w:pPr>
      <w:r>
        <w:rPr>
          <w:rFonts w:hint="eastAsia" w:ascii="宋体" w:hAnsi="宋体" w:cs="宋体"/>
          <w:b/>
          <w:bCs/>
          <w:sz w:val="24"/>
          <w:szCs w:val="24"/>
        </w:rPr>
        <w:t>2.2.5 住院事后审核</w:t>
      </w:r>
    </w:p>
    <w:p w14:paraId="1E31D479">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查询出院患者的历史违规结果及费用明细、在院详情等，支持不同维度的住院违规统计分析</w:t>
      </w:r>
    </w:p>
    <w:p w14:paraId="01BFC9C5">
      <w:pPr>
        <w:pStyle w:val="5"/>
        <w:spacing w:before="156" w:beforeLines="50" w:after="156" w:afterLines="50" w:line="360" w:lineRule="auto"/>
        <w:rPr>
          <w:rFonts w:ascii="宋体" w:hAnsi="宋体" w:cs="宋体"/>
          <w:b/>
          <w:bCs/>
          <w:sz w:val="24"/>
          <w:szCs w:val="24"/>
        </w:rPr>
      </w:pPr>
      <w:r>
        <w:rPr>
          <w:rFonts w:hint="eastAsia" w:ascii="宋体" w:hAnsi="宋体" w:cs="宋体"/>
          <w:b/>
          <w:bCs/>
          <w:sz w:val="24"/>
          <w:szCs w:val="24"/>
        </w:rPr>
        <w:t xml:space="preserve">2.2.6 </w:t>
      </w:r>
      <w:r>
        <w:rPr>
          <w:rFonts w:hint="eastAsia" w:ascii="宋体" w:hAnsi="宋体" w:cs="宋体"/>
          <w:color w:val="000000"/>
          <w:sz w:val="24"/>
          <w:szCs w:val="24"/>
        </w:rPr>
        <w:t>▲</w:t>
      </w:r>
      <w:r>
        <w:rPr>
          <w:rFonts w:hint="eastAsia" w:ascii="宋体" w:hAnsi="宋体" w:cs="宋体"/>
          <w:b/>
          <w:bCs/>
          <w:sz w:val="24"/>
          <w:szCs w:val="24"/>
        </w:rPr>
        <w:t>门诊前置审核</w:t>
      </w:r>
    </w:p>
    <w:p w14:paraId="03355FF6">
      <w:pPr>
        <w:pStyle w:val="284"/>
        <w:spacing w:line="360" w:lineRule="auto"/>
        <w:ind w:left="0" w:leftChars="0" w:firstLine="480" w:firstLineChars="200"/>
        <w:rPr>
          <w:rFonts w:ascii="宋体" w:hAnsi="宋体" w:eastAsia="宋体"/>
          <w:sz w:val="24"/>
          <w:szCs w:val="24"/>
        </w:rPr>
      </w:pPr>
      <w:r>
        <w:rPr>
          <w:rFonts w:ascii="宋体" w:hAnsi="宋体" w:eastAsia="宋体"/>
          <w:sz w:val="24"/>
          <w:szCs w:val="24"/>
        </w:rPr>
        <w:t>在医生为患者开具处方或门诊计费环节进行审核并及时预警，避免违规用药与高值高频诊疗项目的发生。门诊诊疗项目审核：包括但不限于男性开具女性项目，女性开具男性项目，限年龄加收项目等。</w:t>
      </w:r>
    </w:p>
    <w:p w14:paraId="5B0841EC">
      <w:pPr>
        <w:pStyle w:val="5"/>
        <w:spacing w:before="156" w:beforeLines="50" w:after="156" w:afterLines="50" w:line="360" w:lineRule="auto"/>
        <w:rPr>
          <w:rFonts w:ascii="宋体" w:hAnsi="宋体" w:cs="宋体"/>
          <w:b/>
          <w:bCs/>
          <w:sz w:val="24"/>
          <w:szCs w:val="24"/>
        </w:rPr>
      </w:pPr>
      <w:r>
        <w:rPr>
          <w:rFonts w:hint="eastAsia" w:ascii="宋体" w:hAnsi="宋体" w:cs="宋体"/>
          <w:b/>
          <w:bCs/>
          <w:sz w:val="24"/>
          <w:szCs w:val="24"/>
        </w:rPr>
        <w:t xml:space="preserve">2.2.7 </w:t>
      </w:r>
      <w:r>
        <w:rPr>
          <w:rFonts w:hint="eastAsia" w:ascii="宋体" w:hAnsi="宋体" w:cs="宋体"/>
          <w:color w:val="000000"/>
          <w:sz w:val="24"/>
          <w:szCs w:val="24"/>
        </w:rPr>
        <w:t>▲</w:t>
      </w:r>
      <w:r>
        <w:rPr>
          <w:rFonts w:hint="eastAsia" w:ascii="宋体" w:hAnsi="宋体" w:cs="宋体"/>
          <w:b/>
          <w:bCs/>
          <w:sz w:val="24"/>
          <w:szCs w:val="24"/>
        </w:rPr>
        <w:t>医保稽核申诉</w:t>
      </w:r>
    </w:p>
    <w:p w14:paraId="78345B7E">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导入医保违规信息，在平台上实现违规单据的在线申诉管理，包含申诉资料上传、下载、查看、审批等。</w:t>
      </w:r>
    </w:p>
    <w:p w14:paraId="3D7E0A39">
      <w:pPr>
        <w:pStyle w:val="5"/>
        <w:spacing w:before="156" w:beforeLines="50" w:after="156" w:afterLines="50" w:line="360" w:lineRule="auto"/>
        <w:rPr>
          <w:rFonts w:ascii="宋体" w:hAnsi="宋体" w:cs="宋体"/>
          <w:sz w:val="24"/>
          <w:szCs w:val="24"/>
        </w:rPr>
      </w:pPr>
      <w:r>
        <w:rPr>
          <w:rFonts w:hint="eastAsia" w:ascii="宋体" w:hAnsi="宋体" w:cs="宋体"/>
          <w:b/>
          <w:bCs/>
          <w:sz w:val="24"/>
          <w:szCs w:val="24"/>
        </w:rPr>
        <w:t xml:space="preserve">2.2.8 </w:t>
      </w:r>
      <w:r>
        <w:rPr>
          <w:rFonts w:hint="eastAsia" w:ascii="宋体" w:hAnsi="宋体" w:cs="宋体"/>
          <w:color w:val="000000"/>
          <w:sz w:val="24"/>
          <w:szCs w:val="24"/>
        </w:rPr>
        <w:t>▲</w:t>
      </w:r>
      <w:r>
        <w:rPr>
          <w:rFonts w:hint="eastAsia" w:ascii="宋体" w:hAnsi="宋体" w:cs="宋体"/>
          <w:b/>
          <w:bCs/>
          <w:sz w:val="24"/>
          <w:szCs w:val="24"/>
        </w:rPr>
        <w:t>数据采集</w:t>
      </w:r>
    </w:p>
    <w:p w14:paraId="3728B0D5">
      <w:pPr>
        <w:pStyle w:val="284"/>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能够实现与医院现有业务系统的数据对接，自动完成医疗费用相关数据采集，并自动完成物价智能审核数据的数据验证和中间结果数据生成工作。能够配置定时数据调度任务，并监控任务执行情况等</w:t>
      </w:r>
    </w:p>
    <w:p w14:paraId="3A34FA0E">
      <w:pPr>
        <w:pStyle w:val="3"/>
        <w:numPr>
          <w:ilvl w:val="0"/>
          <w:numId w:val="2"/>
        </w:numPr>
        <w:spacing w:before="312" w:beforeLines="100" w:after="312" w:afterLines="100" w:line="360" w:lineRule="auto"/>
        <w:rPr>
          <w:rFonts w:ascii="宋体" w:hAnsi="宋体" w:cs="宋体"/>
          <w:kern w:val="2"/>
          <w:sz w:val="24"/>
          <w:szCs w:val="24"/>
          <w:shd w:val="clear" w:color="auto" w:fill="FFFFFF"/>
        </w:rPr>
      </w:pPr>
      <w:r>
        <w:rPr>
          <w:rFonts w:hint="eastAsia" w:ascii="宋体" w:hAnsi="宋体" w:cs="宋体"/>
          <w:kern w:val="2"/>
          <w:sz w:val="24"/>
          <w:szCs w:val="24"/>
          <w:shd w:val="clear" w:color="auto" w:fill="FFFFFF"/>
        </w:rPr>
        <w:t>技术要求参数表</w:t>
      </w:r>
    </w:p>
    <w:p w14:paraId="0A69B04E">
      <w:pPr>
        <w:pStyle w:val="284"/>
        <w:numPr>
          <w:ilvl w:val="0"/>
          <w:numId w:val="10"/>
        </w:numPr>
        <w:spacing w:line="360" w:lineRule="auto"/>
        <w:ind w:firstLine="0"/>
        <w:rPr>
          <w:rFonts w:ascii="宋体" w:hAnsi="宋体" w:eastAsia="宋体"/>
          <w:b/>
          <w:bCs/>
          <w:color w:val="333333"/>
          <w:kern w:val="2"/>
          <w:sz w:val="24"/>
          <w:szCs w:val="24"/>
          <w:shd w:val="clear" w:color="auto" w:fill="FFFFFF"/>
        </w:rPr>
      </w:pPr>
      <w:r>
        <w:rPr>
          <w:rFonts w:hint="eastAsia" w:ascii="宋体" w:hAnsi="宋体" w:eastAsia="宋体"/>
          <w:b/>
          <w:bCs/>
          <w:color w:val="333333"/>
          <w:kern w:val="2"/>
          <w:sz w:val="24"/>
          <w:szCs w:val="24"/>
          <w:shd w:val="clear" w:color="auto" w:fill="FFFFFF"/>
        </w:rPr>
        <w:t>DIP运营管理系统</w:t>
      </w:r>
    </w:p>
    <w:p w14:paraId="2623760C">
      <w:pPr>
        <w:pStyle w:val="284"/>
        <w:spacing w:line="360" w:lineRule="auto"/>
        <w:ind w:firstLine="0"/>
        <w:rPr>
          <w:rFonts w:ascii="宋体" w:hAnsi="宋体" w:eastAsia="宋体"/>
          <w:b/>
          <w:bCs/>
          <w:sz w:val="24"/>
          <w:szCs w:val="24"/>
        </w:rPr>
      </w:pPr>
      <w:r>
        <w:rPr>
          <w:rFonts w:hint="eastAsia" w:ascii="宋体" w:hAnsi="宋体" w:eastAsia="宋体"/>
          <w:b/>
          <w:bCs/>
          <w:sz w:val="24"/>
          <w:szCs w:val="24"/>
        </w:rPr>
        <w:t>技术要求参数表如下，其中“</w:t>
      </w:r>
      <w:bookmarkStart w:id="39" w:name="OLE_LINK3"/>
      <w:r>
        <w:rPr>
          <w:rFonts w:hint="eastAsia" w:ascii="宋体" w:hAnsi="宋体" w:eastAsia="宋体"/>
          <w:b/>
          <w:bCs/>
          <w:sz w:val="24"/>
          <w:szCs w:val="24"/>
        </w:rPr>
        <w:t>▲</w:t>
      </w:r>
      <w:bookmarkEnd w:id="39"/>
      <w:r>
        <w:rPr>
          <w:rFonts w:hint="eastAsia" w:ascii="宋体" w:hAnsi="宋体" w:eastAsia="宋体"/>
          <w:b/>
          <w:bCs/>
          <w:sz w:val="24"/>
          <w:szCs w:val="24"/>
        </w:rPr>
        <w:t>”标志的为重要响应指标</w:t>
      </w:r>
    </w:p>
    <w:tbl>
      <w:tblPr>
        <w:tblStyle w:val="37"/>
        <w:tblW w:w="5714" w:type="pct"/>
        <w:tblInd w:w="-518" w:type="dxa"/>
        <w:tblLayout w:type="fixed"/>
        <w:tblCellMar>
          <w:top w:w="0" w:type="dxa"/>
          <w:left w:w="108" w:type="dxa"/>
          <w:bottom w:w="0" w:type="dxa"/>
          <w:right w:w="108" w:type="dxa"/>
        </w:tblCellMar>
      </w:tblPr>
      <w:tblGrid>
        <w:gridCol w:w="704"/>
        <w:gridCol w:w="1271"/>
        <w:gridCol w:w="2258"/>
        <w:gridCol w:w="5506"/>
      </w:tblGrid>
      <w:tr w14:paraId="58B070BF">
        <w:tblPrEx>
          <w:tblCellMar>
            <w:top w:w="0" w:type="dxa"/>
            <w:left w:w="108" w:type="dxa"/>
            <w:bottom w:w="0" w:type="dxa"/>
            <w:right w:w="108" w:type="dxa"/>
          </w:tblCellMar>
        </w:tblPrEx>
        <w:trPr>
          <w:trHeight w:val="319" w:hRule="atLeast"/>
        </w:trPr>
        <w:tc>
          <w:tcPr>
            <w:tcW w:w="361" w:type="pct"/>
            <w:tcBorders>
              <w:top w:val="single" w:color="auto" w:sz="4" w:space="0"/>
              <w:left w:val="single" w:color="auto" w:sz="4" w:space="0"/>
              <w:bottom w:val="single" w:color="auto" w:sz="4" w:space="0"/>
              <w:right w:val="single" w:color="auto" w:sz="4" w:space="0"/>
            </w:tcBorders>
            <w:vAlign w:val="center"/>
          </w:tcPr>
          <w:p w14:paraId="7025C228">
            <w:pPr>
              <w:spacing w:line="360" w:lineRule="auto"/>
              <w:jc w:val="center"/>
              <w:rPr>
                <w:b/>
                <w:bCs/>
                <w:color w:val="000000"/>
                <w:sz w:val="24"/>
                <w:szCs w:val="24"/>
              </w:rPr>
            </w:pPr>
            <w:r>
              <w:rPr>
                <w:rFonts w:hint="eastAsia"/>
                <w:b/>
                <w:bCs/>
                <w:color w:val="000000"/>
                <w:sz w:val="24"/>
                <w:szCs w:val="24"/>
              </w:rPr>
              <w:t>序号</w:t>
            </w:r>
          </w:p>
        </w:tc>
        <w:tc>
          <w:tcPr>
            <w:tcW w:w="652" w:type="pct"/>
            <w:tcBorders>
              <w:top w:val="single" w:color="auto" w:sz="4" w:space="0"/>
              <w:left w:val="nil"/>
              <w:bottom w:val="single" w:color="auto" w:sz="4" w:space="0"/>
              <w:right w:val="single" w:color="auto" w:sz="4" w:space="0"/>
            </w:tcBorders>
            <w:vAlign w:val="center"/>
          </w:tcPr>
          <w:p w14:paraId="62743C0C">
            <w:pPr>
              <w:spacing w:line="360" w:lineRule="auto"/>
              <w:jc w:val="center"/>
              <w:rPr>
                <w:b/>
                <w:bCs/>
                <w:color w:val="000000"/>
                <w:sz w:val="24"/>
                <w:szCs w:val="24"/>
              </w:rPr>
            </w:pPr>
            <w:r>
              <w:rPr>
                <w:rFonts w:hint="eastAsia"/>
                <w:b/>
                <w:bCs/>
                <w:color w:val="000000"/>
                <w:sz w:val="24"/>
                <w:szCs w:val="24"/>
              </w:rPr>
              <w:t>功能模块</w:t>
            </w:r>
          </w:p>
        </w:tc>
        <w:tc>
          <w:tcPr>
            <w:tcW w:w="1159" w:type="pct"/>
            <w:tcBorders>
              <w:top w:val="single" w:color="auto" w:sz="4" w:space="0"/>
              <w:left w:val="nil"/>
              <w:bottom w:val="single" w:color="auto" w:sz="4" w:space="0"/>
              <w:right w:val="single" w:color="auto" w:sz="4" w:space="0"/>
            </w:tcBorders>
            <w:vAlign w:val="center"/>
          </w:tcPr>
          <w:p w14:paraId="29C7C704">
            <w:pPr>
              <w:spacing w:line="360" w:lineRule="auto"/>
              <w:jc w:val="center"/>
              <w:rPr>
                <w:b/>
                <w:bCs/>
                <w:color w:val="000000"/>
                <w:sz w:val="24"/>
                <w:szCs w:val="24"/>
              </w:rPr>
            </w:pPr>
            <w:r>
              <w:rPr>
                <w:rFonts w:hint="eastAsia"/>
                <w:b/>
                <w:bCs/>
                <w:color w:val="000000"/>
                <w:sz w:val="24"/>
                <w:szCs w:val="24"/>
              </w:rPr>
              <w:t>功能要求</w:t>
            </w:r>
          </w:p>
        </w:tc>
        <w:tc>
          <w:tcPr>
            <w:tcW w:w="2826" w:type="pct"/>
            <w:tcBorders>
              <w:top w:val="single" w:color="auto" w:sz="4" w:space="0"/>
              <w:left w:val="nil"/>
              <w:bottom w:val="single" w:color="auto" w:sz="4" w:space="0"/>
              <w:right w:val="single" w:color="auto" w:sz="4" w:space="0"/>
            </w:tcBorders>
            <w:vAlign w:val="center"/>
          </w:tcPr>
          <w:p w14:paraId="6010370B">
            <w:pPr>
              <w:spacing w:line="360" w:lineRule="auto"/>
              <w:jc w:val="center"/>
              <w:rPr>
                <w:b/>
                <w:bCs/>
                <w:color w:val="000000"/>
                <w:sz w:val="24"/>
                <w:szCs w:val="24"/>
              </w:rPr>
            </w:pPr>
            <w:r>
              <w:rPr>
                <w:rFonts w:hint="eastAsia"/>
                <w:b/>
                <w:bCs/>
                <w:color w:val="000000"/>
                <w:sz w:val="24"/>
                <w:szCs w:val="24"/>
              </w:rPr>
              <w:t>功能要求说明</w:t>
            </w:r>
          </w:p>
        </w:tc>
      </w:tr>
      <w:tr w14:paraId="1C8C0DAF">
        <w:tblPrEx>
          <w:tblCellMar>
            <w:top w:w="0" w:type="dxa"/>
            <w:left w:w="108" w:type="dxa"/>
            <w:bottom w:w="0" w:type="dxa"/>
            <w:right w:w="108" w:type="dxa"/>
          </w:tblCellMar>
        </w:tblPrEx>
        <w:trPr>
          <w:trHeight w:val="1861" w:hRule="atLeast"/>
        </w:trPr>
        <w:tc>
          <w:tcPr>
            <w:tcW w:w="361" w:type="pct"/>
            <w:tcBorders>
              <w:top w:val="nil"/>
              <w:left w:val="single" w:color="auto" w:sz="4" w:space="0"/>
              <w:bottom w:val="single" w:color="auto" w:sz="4" w:space="0"/>
              <w:right w:val="single" w:color="auto" w:sz="4" w:space="0"/>
            </w:tcBorders>
            <w:vAlign w:val="center"/>
          </w:tcPr>
          <w:p w14:paraId="5C0B522F">
            <w:pPr>
              <w:spacing w:line="360" w:lineRule="auto"/>
              <w:jc w:val="center"/>
              <w:rPr>
                <w:color w:val="000000"/>
                <w:sz w:val="24"/>
                <w:szCs w:val="24"/>
              </w:rPr>
            </w:pPr>
            <w:r>
              <w:rPr>
                <w:rFonts w:hint="eastAsia"/>
                <w:color w:val="000000"/>
                <w:sz w:val="24"/>
                <w:szCs w:val="24"/>
              </w:rPr>
              <w:t>1</w:t>
            </w:r>
          </w:p>
        </w:tc>
        <w:tc>
          <w:tcPr>
            <w:tcW w:w="652" w:type="pct"/>
            <w:tcBorders>
              <w:top w:val="nil"/>
              <w:left w:val="nil"/>
              <w:bottom w:val="single" w:color="auto" w:sz="4" w:space="0"/>
              <w:right w:val="single" w:color="auto" w:sz="4" w:space="0"/>
            </w:tcBorders>
            <w:vAlign w:val="center"/>
          </w:tcPr>
          <w:p w14:paraId="4E38BAF3">
            <w:pPr>
              <w:spacing w:line="360" w:lineRule="auto"/>
              <w:jc w:val="center"/>
              <w:rPr>
                <w:color w:val="000000"/>
                <w:sz w:val="24"/>
                <w:szCs w:val="24"/>
              </w:rPr>
            </w:pPr>
            <w:r>
              <w:rPr>
                <w:rFonts w:hint="eastAsia"/>
                <w:color w:val="000000"/>
                <w:sz w:val="24"/>
                <w:szCs w:val="24"/>
              </w:rPr>
              <w:t>前置审核接口</w:t>
            </w:r>
          </w:p>
        </w:tc>
        <w:tc>
          <w:tcPr>
            <w:tcW w:w="1159" w:type="pct"/>
            <w:tcBorders>
              <w:top w:val="nil"/>
              <w:left w:val="nil"/>
              <w:bottom w:val="single" w:color="auto" w:sz="4" w:space="0"/>
              <w:right w:val="single" w:color="auto" w:sz="4" w:space="0"/>
            </w:tcBorders>
            <w:vAlign w:val="center"/>
          </w:tcPr>
          <w:p w14:paraId="69F14A31">
            <w:pPr>
              <w:spacing w:line="360" w:lineRule="auto"/>
              <w:rPr>
                <w:color w:val="000000"/>
                <w:sz w:val="24"/>
                <w:szCs w:val="24"/>
              </w:rPr>
            </w:pPr>
            <w:r>
              <w:rPr>
                <w:rFonts w:hint="eastAsia"/>
                <w:color w:val="000000"/>
                <w:sz w:val="24"/>
                <w:szCs w:val="24"/>
              </w:rPr>
              <w:t>与院内系统进行集成，根据医院填写的信息与分组器的分析，自动推荐分组方案。</w:t>
            </w:r>
          </w:p>
        </w:tc>
        <w:tc>
          <w:tcPr>
            <w:tcW w:w="2826" w:type="pct"/>
            <w:tcBorders>
              <w:top w:val="nil"/>
              <w:left w:val="nil"/>
              <w:bottom w:val="single" w:color="auto" w:sz="4" w:space="0"/>
              <w:right w:val="single" w:color="auto" w:sz="4" w:space="0"/>
            </w:tcBorders>
            <w:vAlign w:val="center"/>
          </w:tcPr>
          <w:p w14:paraId="20A561CA">
            <w:pPr>
              <w:spacing w:line="360" w:lineRule="auto"/>
              <w:rPr>
                <w:color w:val="000000"/>
                <w:sz w:val="24"/>
                <w:szCs w:val="24"/>
              </w:rPr>
            </w:pPr>
            <w:r>
              <w:rPr>
                <w:rFonts w:hint="eastAsia"/>
                <w:color w:val="000000"/>
                <w:sz w:val="24"/>
                <w:szCs w:val="24"/>
              </w:rPr>
              <w:t>1.可根据门诊诊断、入院诊断、出院诊断不同信息生成DIP分组结果</w:t>
            </w:r>
          </w:p>
          <w:p w14:paraId="19B85282">
            <w:pPr>
              <w:spacing w:line="360" w:lineRule="auto"/>
              <w:rPr>
                <w:color w:val="000000"/>
                <w:sz w:val="24"/>
                <w:szCs w:val="24"/>
              </w:rPr>
            </w:pPr>
            <w:r>
              <w:rPr>
                <w:rFonts w:hint="eastAsia"/>
                <w:color w:val="000000"/>
                <w:sz w:val="24"/>
                <w:szCs w:val="24"/>
              </w:rPr>
              <w:t>2.支持查看不同分组结果下的付费标准</w:t>
            </w:r>
          </w:p>
          <w:p w14:paraId="67BCF883">
            <w:pPr>
              <w:spacing w:line="360" w:lineRule="auto"/>
              <w:rPr>
                <w:color w:val="000000"/>
                <w:sz w:val="24"/>
                <w:szCs w:val="24"/>
              </w:rPr>
            </w:pPr>
            <w:r>
              <w:rPr>
                <w:rFonts w:hint="eastAsia"/>
                <w:color w:val="000000"/>
                <w:sz w:val="24"/>
                <w:szCs w:val="24"/>
              </w:rPr>
              <w:t>3.能够根据入组审核结果的标准费用预测，与当前总费用进行比较，实现费用超支风险预警。</w:t>
            </w:r>
          </w:p>
          <w:p w14:paraId="4F06D77A">
            <w:pPr>
              <w:spacing w:line="360" w:lineRule="auto"/>
              <w:rPr>
                <w:color w:val="000000"/>
                <w:sz w:val="24"/>
                <w:szCs w:val="24"/>
              </w:rPr>
            </w:pPr>
            <w:r>
              <w:rPr>
                <w:rFonts w:hint="eastAsia"/>
                <w:color w:val="000000"/>
                <w:sz w:val="24"/>
                <w:szCs w:val="24"/>
              </w:rPr>
              <w:t>4.支持根据当前盈亏情况智能推荐入组方案</w:t>
            </w:r>
          </w:p>
        </w:tc>
      </w:tr>
      <w:tr w14:paraId="52B1CEBF">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08003897">
            <w:pPr>
              <w:spacing w:line="360" w:lineRule="auto"/>
              <w:jc w:val="center"/>
              <w:rPr>
                <w:color w:val="000000"/>
                <w:sz w:val="24"/>
                <w:szCs w:val="24"/>
              </w:rPr>
            </w:pPr>
            <w:r>
              <w:rPr>
                <w:rFonts w:hint="eastAsia"/>
                <w:color w:val="000000"/>
                <w:sz w:val="24"/>
                <w:szCs w:val="24"/>
              </w:rPr>
              <w:t>2</w:t>
            </w:r>
          </w:p>
        </w:tc>
        <w:tc>
          <w:tcPr>
            <w:tcW w:w="652" w:type="pct"/>
            <w:vMerge w:val="restart"/>
            <w:tcBorders>
              <w:top w:val="nil"/>
              <w:left w:val="single" w:color="auto" w:sz="4" w:space="0"/>
              <w:bottom w:val="single" w:color="auto" w:sz="4" w:space="0"/>
              <w:right w:val="single" w:color="auto" w:sz="4" w:space="0"/>
            </w:tcBorders>
            <w:vAlign w:val="center"/>
          </w:tcPr>
          <w:p w14:paraId="1FDA79A5">
            <w:pPr>
              <w:spacing w:line="360" w:lineRule="auto"/>
              <w:jc w:val="center"/>
              <w:rPr>
                <w:color w:val="000000"/>
                <w:sz w:val="24"/>
                <w:szCs w:val="24"/>
              </w:rPr>
            </w:pPr>
            <w:r>
              <w:rPr>
                <w:rFonts w:hint="eastAsia"/>
                <w:color w:val="000000"/>
                <w:sz w:val="24"/>
                <w:szCs w:val="24"/>
              </w:rPr>
              <w:t>DIP预警与审核</w:t>
            </w:r>
          </w:p>
        </w:tc>
        <w:tc>
          <w:tcPr>
            <w:tcW w:w="1159" w:type="pct"/>
            <w:vMerge w:val="restart"/>
            <w:tcBorders>
              <w:top w:val="nil"/>
              <w:left w:val="single" w:color="auto" w:sz="4" w:space="0"/>
              <w:bottom w:val="single" w:color="auto" w:sz="4" w:space="0"/>
              <w:right w:val="single" w:color="auto" w:sz="4" w:space="0"/>
            </w:tcBorders>
            <w:vAlign w:val="center"/>
          </w:tcPr>
          <w:p w14:paraId="4710E850">
            <w:pPr>
              <w:spacing w:line="360" w:lineRule="auto"/>
              <w:rPr>
                <w:color w:val="000000"/>
                <w:sz w:val="24"/>
                <w:szCs w:val="24"/>
              </w:rPr>
            </w:pPr>
            <w:r>
              <w:rPr>
                <w:rFonts w:hint="eastAsia"/>
                <w:color w:val="000000"/>
                <w:sz w:val="24"/>
                <w:szCs w:val="24"/>
              </w:rPr>
              <w:t>DIP智能审核与预警集结算清单数据质量审核、入组审核、医疗监管审核、费用超支结余预警等于一体，从全院审核总览细化至个案审核画像，从事前管理，事中干预，事后分析，实现清单全流程审核和费用超支预警。支持分组器嵌入院内业务系统，实现医生端DIP预分组和费用预警，同时提供分组图谱，展示病例的分组过程和最优入组组合。</w:t>
            </w:r>
          </w:p>
        </w:tc>
        <w:tc>
          <w:tcPr>
            <w:tcW w:w="2826" w:type="pct"/>
            <w:tcBorders>
              <w:top w:val="nil"/>
              <w:left w:val="nil"/>
              <w:bottom w:val="single" w:color="auto" w:sz="4" w:space="0"/>
              <w:right w:val="single" w:color="auto" w:sz="4" w:space="0"/>
            </w:tcBorders>
            <w:vAlign w:val="center"/>
          </w:tcPr>
          <w:p w14:paraId="31E72C7A">
            <w:pPr>
              <w:spacing w:line="360" w:lineRule="auto"/>
              <w:rPr>
                <w:color w:val="000000"/>
                <w:sz w:val="24"/>
                <w:szCs w:val="24"/>
              </w:rPr>
            </w:pPr>
            <w:r>
              <w:rPr>
                <w:rFonts w:hint="eastAsia"/>
                <w:color w:val="000000"/>
                <w:sz w:val="24"/>
                <w:szCs w:val="24"/>
              </w:rPr>
              <w:t>智能审核预警：能提供智能审核功能，智能审核包括病例质控、入组审核、费用超支预警、不合规行为监控等内容，实现医保全方位管理</w:t>
            </w:r>
          </w:p>
        </w:tc>
      </w:tr>
      <w:tr w14:paraId="63C143C1">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68E3BB0C">
            <w:pPr>
              <w:spacing w:line="360" w:lineRule="auto"/>
              <w:jc w:val="center"/>
              <w:rPr>
                <w:color w:val="000000"/>
                <w:sz w:val="24"/>
                <w:szCs w:val="24"/>
              </w:rPr>
            </w:pPr>
            <w:r>
              <w:rPr>
                <w:rFonts w:hint="eastAsia"/>
                <w:color w:val="000000"/>
                <w:sz w:val="24"/>
                <w:szCs w:val="24"/>
              </w:rPr>
              <w:t>3</w:t>
            </w:r>
          </w:p>
        </w:tc>
        <w:tc>
          <w:tcPr>
            <w:tcW w:w="652" w:type="pct"/>
            <w:vMerge w:val="continue"/>
            <w:tcBorders>
              <w:top w:val="nil"/>
              <w:left w:val="single" w:color="auto" w:sz="4" w:space="0"/>
              <w:bottom w:val="single" w:color="auto" w:sz="4" w:space="0"/>
              <w:right w:val="single" w:color="auto" w:sz="4" w:space="0"/>
            </w:tcBorders>
            <w:vAlign w:val="center"/>
          </w:tcPr>
          <w:p w14:paraId="76F47C98">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15A8858A">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40190911">
            <w:pPr>
              <w:spacing w:line="360" w:lineRule="auto"/>
              <w:rPr>
                <w:color w:val="000000"/>
                <w:sz w:val="24"/>
                <w:szCs w:val="24"/>
              </w:rPr>
            </w:pPr>
            <w:r>
              <w:rPr>
                <w:rFonts w:hint="eastAsia"/>
                <w:color w:val="000000"/>
                <w:sz w:val="24"/>
                <w:szCs w:val="24"/>
              </w:rPr>
              <w:t>分组质控：针对医保DIP分组进行重点质控，以分组器返回的分组结果为依据，从无分组方案质控、诊断编码质控、医保排除质控等不同维度统计错误病例数及占比情况。</w:t>
            </w:r>
          </w:p>
        </w:tc>
      </w:tr>
      <w:tr w14:paraId="0FA50079">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19830E61">
            <w:pPr>
              <w:spacing w:line="360" w:lineRule="auto"/>
              <w:jc w:val="center"/>
              <w:rPr>
                <w:color w:val="000000"/>
                <w:sz w:val="24"/>
                <w:szCs w:val="24"/>
              </w:rPr>
            </w:pPr>
            <w:r>
              <w:rPr>
                <w:rFonts w:hint="eastAsia"/>
                <w:color w:val="000000"/>
                <w:sz w:val="24"/>
                <w:szCs w:val="24"/>
              </w:rPr>
              <w:t>4</w:t>
            </w:r>
          </w:p>
        </w:tc>
        <w:tc>
          <w:tcPr>
            <w:tcW w:w="652" w:type="pct"/>
            <w:vMerge w:val="continue"/>
            <w:tcBorders>
              <w:top w:val="nil"/>
              <w:left w:val="single" w:color="auto" w:sz="4" w:space="0"/>
              <w:bottom w:val="single" w:color="auto" w:sz="4" w:space="0"/>
              <w:right w:val="single" w:color="auto" w:sz="4" w:space="0"/>
            </w:tcBorders>
            <w:vAlign w:val="center"/>
          </w:tcPr>
          <w:p w14:paraId="4E9169A6">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507A559B">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62B2E818">
            <w:pPr>
              <w:spacing w:line="360" w:lineRule="auto"/>
              <w:rPr>
                <w:color w:val="000000"/>
                <w:sz w:val="24"/>
                <w:szCs w:val="24"/>
              </w:rPr>
            </w:pPr>
            <w:r>
              <w:rPr>
                <w:rFonts w:hint="eastAsia"/>
                <w:color w:val="000000"/>
                <w:sz w:val="24"/>
                <w:szCs w:val="24"/>
              </w:rPr>
              <w:t>清单质控：清单质控按结算清单的指标分类，支持各类指标模块快速切换。清单质控融合了清单修改、修改结果实时测算、每日自动审核结果展示，质控问题快速定位等功能。</w:t>
            </w:r>
          </w:p>
        </w:tc>
      </w:tr>
      <w:tr w14:paraId="73B235E0">
        <w:tblPrEx>
          <w:tblCellMar>
            <w:top w:w="0" w:type="dxa"/>
            <w:left w:w="108" w:type="dxa"/>
            <w:bottom w:w="0" w:type="dxa"/>
            <w:right w:w="108" w:type="dxa"/>
          </w:tblCellMar>
        </w:tblPrEx>
        <w:trPr>
          <w:trHeight w:val="627" w:hRule="atLeast"/>
        </w:trPr>
        <w:tc>
          <w:tcPr>
            <w:tcW w:w="361" w:type="pct"/>
            <w:tcBorders>
              <w:top w:val="nil"/>
              <w:left w:val="single" w:color="auto" w:sz="4" w:space="0"/>
              <w:bottom w:val="single" w:color="auto" w:sz="4" w:space="0"/>
              <w:right w:val="single" w:color="auto" w:sz="4" w:space="0"/>
            </w:tcBorders>
            <w:vAlign w:val="center"/>
          </w:tcPr>
          <w:p w14:paraId="0570FEC3">
            <w:pPr>
              <w:spacing w:line="360" w:lineRule="auto"/>
              <w:jc w:val="center"/>
              <w:rPr>
                <w:color w:val="000000"/>
                <w:sz w:val="24"/>
                <w:szCs w:val="24"/>
              </w:rPr>
            </w:pPr>
            <w:r>
              <w:rPr>
                <w:rFonts w:hint="eastAsia"/>
                <w:color w:val="000000"/>
                <w:sz w:val="24"/>
                <w:szCs w:val="24"/>
              </w:rPr>
              <w:t>5</w:t>
            </w:r>
          </w:p>
        </w:tc>
        <w:tc>
          <w:tcPr>
            <w:tcW w:w="652" w:type="pct"/>
            <w:vMerge w:val="continue"/>
            <w:tcBorders>
              <w:top w:val="nil"/>
              <w:left w:val="single" w:color="auto" w:sz="4" w:space="0"/>
              <w:bottom w:val="single" w:color="auto" w:sz="4" w:space="0"/>
              <w:right w:val="single" w:color="auto" w:sz="4" w:space="0"/>
            </w:tcBorders>
            <w:vAlign w:val="center"/>
          </w:tcPr>
          <w:p w14:paraId="30E01920">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77A9E664">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4FB2437E">
            <w:pPr>
              <w:spacing w:line="360" w:lineRule="auto"/>
              <w:rPr>
                <w:color w:val="000000"/>
                <w:sz w:val="24"/>
                <w:szCs w:val="24"/>
              </w:rPr>
            </w:pPr>
            <w:r>
              <w:rPr>
                <w:rFonts w:hint="eastAsia"/>
                <w:color w:val="000000"/>
                <w:sz w:val="24"/>
                <w:szCs w:val="24"/>
              </w:rPr>
              <w:t>修改跟踪记录分析：系统需要提供修改跟踪记录分析页面，从而掌握医院结算清单整体的修改情况和修改变化趋势。</w:t>
            </w:r>
          </w:p>
        </w:tc>
      </w:tr>
      <w:tr w14:paraId="3DFA6BD9">
        <w:tblPrEx>
          <w:tblCellMar>
            <w:top w:w="0" w:type="dxa"/>
            <w:left w:w="108" w:type="dxa"/>
            <w:bottom w:w="0" w:type="dxa"/>
            <w:right w:w="108" w:type="dxa"/>
          </w:tblCellMar>
        </w:tblPrEx>
        <w:trPr>
          <w:trHeight w:val="1543" w:hRule="atLeast"/>
        </w:trPr>
        <w:tc>
          <w:tcPr>
            <w:tcW w:w="361" w:type="pct"/>
            <w:tcBorders>
              <w:top w:val="nil"/>
              <w:left w:val="single" w:color="auto" w:sz="4" w:space="0"/>
              <w:bottom w:val="single" w:color="auto" w:sz="4" w:space="0"/>
              <w:right w:val="single" w:color="auto" w:sz="4" w:space="0"/>
            </w:tcBorders>
            <w:vAlign w:val="center"/>
          </w:tcPr>
          <w:p w14:paraId="57EA0E87">
            <w:pPr>
              <w:spacing w:line="360" w:lineRule="auto"/>
              <w:jc w:val="center"/>
              <w:rPr>
                <w:color w:val="000000"/>
                <w:sz w:val="24"/>
                <w:szCs w:val="24"/>
              </w:rPr>
            </w:pPr>
            <w:r>
              <w:rPr>
                <w:rFonts w:hint="eastAsia"/>
                <w:color w:val="000000"/>
                <w:sz w:val="24"/>
                <w:szCs w:val="24"/>
              </w:rPr>
              <w:t>6</w:t>
            </w:r>
          </w:p>
        </w:tc>
        <w:tc>
          <w:tcPr>
            <w:tcW w:w="652" w:type="pct"/>
            <w:vMerge w:val="continue"/>
            <w:tcBorders>
              <w:top w:val="nil"/>
              <w:left w:val="single" w:color="auto" w:sz="4" w:space="0"/>
              <w:bottom w:val="single" w:color="auto" w:sz="4" w:space="0"/>
              <w:right w:val="single" w:color="auto" w:sz="4" w:space="0"/>
            </w:tcBorders>
            <w:vAlign w:val="center"/>
          </w:tcPr>
          <w:p w14:paraId="3A5364C9">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6F31A5A5">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3B1A0D3B">
            <w:pPr>
              <w:spacing w:line="360" w:lineRule="auto"/>
              <w:rPr>
                <w:color w:val="000000"/>
                <w:sz w:val="24"/>
                <w:szCs w:val="24"/>
              </w:rPr>
            </w:pPr>
            <w:r>
              <w:rPr>
                <w:rFonts w:hint="eastAsia"/>
                <w:color w:val="000000"/>
                <w:sz w:val="24"/>
                <w:szCs w:val="24"/>
              </w:rPr>
              <w:t>入组分析：展示医院的病案数据入组情况，对总病案数、病组组数、排除病案数、入组病案数、未入组病案数等关键指标进行同比、环比分析。并提供下钻功能。</w:t>
            </w:r>
          </w:p>
        </w:tc>
      </w:tr>
      <w:tr w14:paraId="20FA6FEE">
        <w:tblPrEx>
          <w:tblCellMar>
            <w:top w:w="0" w:type="dxa"/>
            <w:left w:w="108" w:type="dxa"/>
            <w:bottom w:w="0" w:type="dxa"/>
            <w:right w:w="108" w:type="dxa"/>
          </w:tblCellMar>
        </w:tblPrEx>
        <w:trPr>
          <w:trHeight w:val="1244" w:hRule="atLeast"/>
        </w:trPr>
        <w:tc>
          <w:tcPr>
            <w:tcW w:w="361" w:type="pct"/>
            <w:tcBorders>
              <w:top w:val="nil"/>
              <w:left w:val="single" w:color="auto" w:sz="4" w:space="0"/>
              <w:bottom w:val="single" w:color="auto" w:sz="4" w:space="0"/>
              <w:right w:val="single" w:color="auto" w:sz="4" w:space="0"/>
            </w:tcBorders>
            <w:vAlign w:val="center"/>
          </w:tcPr>
          <w:p w14:paraId="117C0A50">
            <w:pPr>
              <w:spacing w:line="360" w:lineRule="auto"/>
              <w:jc w:val="center"/>
              <w:rPr>
                <w:color w:val="000000"/>
                <w:sz w:val="24"/>
                <w:szCs w:val="24"/>
              </w:rPr>
            </w:pPr>
            <w:r>
              <w:rPr>
                <w:rFonts w:hint="eastAsia"/>
                <w:color w:val="000000"/>
                <w:sz w:val="24"/>
                <w:szCs w:val="24"/>
              </w:rPr>
              <w:t>7</w:t>
            </w:r>
          </w:p>
        </w:tc>
        <w:tc>
          <w:tcPr>
            <w:tcW w:w="652" w:type="pct"/>
            <w:vMerge w:val="restart"/>
            <w:tcBorders>
              <w:top w:val="nil"/>
              <w:left w:val="single" w:color="auto" w:sz="4" w:space="0"/>
              <w:bottom w:val="single" w:color="auto" w:sz="4" w:space="0"/>
              <w:right w:val="single" w:color="auto" w:sz="4" w:space="0"/>
            </w:tcBorders>
            <w:vAlign w:val="center"/>
          </w:tcPr>
          <w:p w14:paraId="013E3B8F">
            <w:pPr>
              <w:spacing w:line="360" w:lineRule="auto"/>
              <w:jc w:val="center"/>
              <w:rPr>
                <w:color w:val="000000"/>
                <w:sz w:val="24"/>
                <w:szCs w:val="24"/>
              </w:rPr>
            </w:pPr>
            <w:r>
              <w:rPr>
                <w:rFonts w:hint="eastAsia"/>
                <w:color w:val="000000"/>
                <w:sz w:val="24"/>
                <w:szCs w:val="24"/>
              </w:rPr>
              <w:t>医保付费分析</w:t>
            </w:r>
          </w:p>
        </w:tc>
        <w:tc>
          <w:tcPr>
            <w:tcW w:w="1159" w:type="pct"/>
            <w:vMerge w:val="restart"/>
            <w:tcBorders>
              <w:top w:val="nil"/>
              <w:left w:val="single" w:color="auto" w:sz="4" w:space="0"/>
              <w:bottom w:val="single" w:color="auto" w:sz="4" w:space="0"/>
              <w:right w:val="single" w:color="auto" w:sz="4" w:space="0"/>
            </w:tcBorders>
            <w:vAlign w:val="center"/>
          </w:tcPr>
          <w:p w14:paraId="64C49920">
            <w:pPr>
              <w:spacing w:line="360" w:lineRule="auto"/>
              <w:rPr>
                <w:color w:val="000000"/>
                <w:sz w:val="24"/>
                <w:szCs w:val="24"/>
              </w:rPr>
            </w:pPr>
            <w:r>
              <w:rPr>
                <w:rFonts w:hint="eastAsia"/>
                <w:color w:val="000000"/>
                <w:sz w:val="24"/>
                <w:szCs w:val="24"/>
              </w:rPr>
              <w:t>基于对接过来的结算清单数据进行质控和分组审核后，系统提供了医保付费分析功能， 从全院、科室、诊疗组、医师、病组等方向，根据本地化政策要求，灵活适配按DIP、DIP、项目、床日、单病种等多种复合支付方式，挖掘分析医院医保兑付盈亏情况，并深入分析各病例类型。针对亏损科室及其病种，可以分析其原因，改进医疗方法，同时生成医保盈亏分析报告。</w:t>
            </w:r>
          </w:p>
        </w:tc>
        <w:tc>
          <w:tcPr>
            <w:tcW w:w="2826" w:type="pct"/>
            <w:tcBorders>
              <w:top w:val="nil"/>
              <w:left w:val="nil"/>
              <w:bottom w:val="single" w:color="auto" w:sz="4" w:space="0"/>
              <w:right w:val="single" w:color="auto" w:sz="4" w:space="0"/>
            </w:tcBorders>
            <w:vAlign w:val="center"/>
          </w:tcPr>
          <w:p w14:paraId="3D2B889D">
            <w:pPr>
              <w:spacing w:line="360" w:lineRule="auto"/>
              <w:rPr>
                <w:color w:val="000000"/>
                <w:sz w:val="24"/>
                <w:szCs w:val="24"/>
              </w:rPr>
            </w:pPr>
            <w:r>
              <w:rPr>
                <w:rFonts w:hint="eastAsia"/>
                <w:color w:val="000000"/>
                <w:sz w:val="24"/>
                <w:szCs w:val="24"/>
              </w:rPr>
              <w:t>总体分析：对医保付费信息进行全院总体分析，关键数据包括全院总体点数、预测结算金额、原项目支付总额、预测盈亏金额、预测盈亏比、支付人数结构、费用占比、病例付费类型等。</w:t>
            </w:r>
          </w:p>
        </w:tc>
      </w:tr>
      <w:tr w14:paraId="4B1CF2AE">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6A8FE3E7">
            <w:pPr>
              <w:spacing w:line="360" w:lineRule="auto"/>
              <w:jc w:val="center"/>
              <w:rPr>
                <w:color w:val="000000"/>
                <w:sz w:val="24"/>
                <w:szCs w:val="24"/>
              </w:rPr>
            </w:pPr>
            <w:r>
              <w:rPr>
                <w:rFonts w:hint="eastAsia"/>
                <w:color w:val="000000"/>
                <w:sz w:val="24"/>
                <w:szCs w:val="24"/>
              </w:rPr>
              <w:t>8</w:t>
            </w:r>
          </w:p>
        </w:tc>
        <w:tc>
          <w:tcPr>
            <w:tcW w:w="652" w:type="pct"/>
            <w:vMerge w:val="continue"/>
            <w:tcBorders>
              <w:top w:val="nil"/>
              <w:left w:val="single" w:color="auto" w:sz="4" w:space="0"/>
              <w:bottom w:val="single" w:color="auto" w:sz="4" w:space="0"/>
              <w:right w:val="single" w:color="auto" w:sz="4" w:space="0"/>
            </w:tcBorders>
            <w:vAlign w:val="center"/>
          </w:tcPr>
          <w:p w14:paraId="16825778">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234C6E36">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78CBA629">
            <w:pPr>
              <w:spacing w:line="360" w:lineRule="auto"/>
              <w:rPr>
                <w:color w:val="000000"/>
                <w:sz w:val="24"/>
                <w:szCs w:val="24"/>
              </w:rPr>
            </w:pPr>
            <w:r>
              <w:rPr>
                <w:rFonts w:hint="eastAsia"/>
                <w:color w:val="000000"/>
                <w:sz w:val="24"/>
                <w:szCs w:val="24"/>
              </w:rPr>
              <w:t>支付盈亏分析：对全院、科室、诊疗组等多纬度进行支付盈亏分析，包含按人群类型的盈亏金额、盈亏比、盈亏趋势分析，以及病例类型占比情况、各类型病组的结算差异情况等。</w:t>
            </w:r>
          </w:p>
        </w:tc>
      </w:tr>
      <w:tr w14:paraId="647731FB">
        <w:tblPrEx>
          <w:tblCellMar>
            <w:top w:w="0" w:type="dxa"/>
            <w:left w:w="108" w:type="dxa"/>
            <w:bottom w:w="0" w:type="dxa"/>
            <w:right w:w="108" w:type="dxa"/>
          </w:tblCellMar>
        </w:tblPrEx>
        <w:trPr>
          <w:trHeight w:val="1553" w:hRule="atLeast"/>
        </w:trPr>
        <w:tc>
          <w:tcPr>
            <w:tcW w:w="361" w:type="pct"/>
            <w:tcBorders>
              <w:top w:val="nil"/>
              <w:left w:val="single" w:color="auto" w:sz="4" w:space="0"/>
              <w:bottom w:val="single" w:color="auto" w:sz="4" w:space="0"/>
              <w:right w:val="single" w:color="auto" w:sz="4" w:space="0"/>
            </w:tcBorders>
            <w:vAlign w:val="center"/>
          </w:tcPr>
          <w:p w14:paraId="667137D6">
            <w:pPr>
              <w:spacing w:line="360" w:lineRule="auto"/>
              <w:jc w:val="center"/>
              <w:rPr>
                <w:color w:val="000000"/>
                <w:sz w:val="24"/>
                <w:szCs w:val="24"/>
              </w:rPr>
            </w:pPr>
            <w:r>
              <w:rPr>
                <w:rFonts w:hint="eastAsia"/>
                <w:color w:val="000000"/>
                <w:sz w:val="24"/>
                <w:szCs w:val="24"/>
              </w:rPr>
              <w:t>9</w:t>
            </w:r>
          </w:p>
        </w:tc>
        <w:tc>
          <w:tcPr>
            <w:tcW w:w="652" w:type="pct"/>
            <w:vMerge w:val="continue"/>
            <w:tcBorders>
              <w:top w:val="nil"/>
              <w:left w:val="single" w:color="auto" w:sz="4" w:space="0"/>
              <w:bottom w:val="single" w:color="auto" w:sz="4" w:space="0"/>
              <w:right w:val="single" w:color="auto" w:sz="4" w:space="0"/>
            </w:tcBorders>
            <w:vAlign w:val="center"/>
          </w:tcPr>
          <w:p w14:paraId="57EFFE65">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75E4F576">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7B23654B">
            <w:pPr>
              <w:spacing w:line="360" w:lineRule="auto"/>
              <w:rPr>
                <w:color w:val="000000"/>
                <w:sz w:val="24"/>
                <w:szCs w:val="24"/>
              </w:rPr>
            </w:pPr>
            <w:r>
              <w:rPr>
                <w:rFonts w:hint="eastAsia"/>
                <w:color w:val="000000"/>
                <w:sz w:val="24"/>
                <w:szCs w:val="24"/>
              </w:rPr>
              <w:t>DIP组盈亏分析：分别以科室、医生、病组为分析维度，对医保付费信息进行统计分析，并按费用和效率指标赋予标签。针对病组维度，下钻至病组内部可查看该病组费用结构、例均费用最高的项目排名、该病组超支科室情况、该病组超支医生情况以及病例详情等病组数据。</w:t>
            </w:r>
          </w:p>
        </w:tc>
      </w:tr>
      <w:tr w14:paraId="3275E00E">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7E74437D">
            <w:pPr>
              <w:spacing w:line="360" w:lineRule="auto"/>
              <w:jc w:val="center"/>
              <w:rPr>
                <w:color w:val="000000"/>
                <w:sz w:val="24"/>
                <w:szCs w:val="24"/>
              </w:rPr>
            </w:pPr>
            <w:r>
              <w:rPr>
                <w:rFonts w:hint="eastAsia"/>
                <w:color w:val="000000"/>
                <w:sz w:val="24"/>
                <w:szCs w:val="24"/>
              </w:rPr>
              <w:t>10</w:t>
            </w:r>
          </w:p>
        </w:tc>
        <w:tc>
          <w:tcPr>
            <w:tcW w:w="652" w:type="pct"/>
            <w:vMerge w:val="continue"/>
            <w:tcBorders>
              <w:top w:val="nil"/>
              <w:left w:val="single" w:color="auto" w:sz="4" w:space="0"/>
              <w:bottom w:val="single" w:color="auto" w:sz="4" w:space="0"/>
              <w:right w:val="single" w:color="auto" w:sz="4" w:space="0"/>
            </w:tcBorders>
            <w:vAlign w:val="center"/>
          </w:tcPr>
          <w:p w14:paraId="57198F00">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391CCBA2">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3E46D7B1">
            <w:pPr>
              <w:spacing w:line="360" w:lineRule="auto"/>
              <w:rPr>
                <w:color w:val="000000"/>
                <w:sz w:val="24"/>
                <w:szCs w:val="24"/>
              </w:rPr>
            </w:pPr>
            <w:r>
              <w:rPr>
                <w:rFonts w:hint="eastAsia"/>
                <w:color w:val="000000"/>
                <w:sz w:val="24"/>
                <w:szCs w:val="24"/>
              </w:rPr>
              <w:t>病例盈亏分析 ：针对病例盈亏分析，对医保付费病例数据进行统计分析，下钻至病例内部可查看该病例费用结构情况、该病例费用最高的项目排名等病例数据。</w:t>
            </w:r>
          </w:p>
        </w:tc>
      </w:tr>
      <w:tr w14:paraId="7971F993">
        <w:tblPrEx>
          <w:tblCellMar>
            <w:top w:w="0" w:type="dxa"/>
            <w:left w:w="108" w:type="dxa"/>
            <w:bottom w:w="0" w:type="dxa"/>
            <w:right w:w="108" w:type="dxa"/>
          </w:tblCellMar>
        </w:tblPrEx>
        <w:trPr>
          <w:trHeight w:val="1244" w:hRule="atLeast"/>
        </w:trPr>
        <w:tc>
          <w:tcPr>
            <w:tcW w:w="361" w:type="pct"/>
            <w:tcBorders>
              <w:top w:val="nil"/>
              <w:left w:val="single" w:color="auto" w:sz="4" w:space="0"/>
              <w:bottom w:val="single" w:color="auto" w:sz="4" w:space="0"/>
              <w:right w:val="single" w:color="auto" w:sz="4" w:space="0"/>
            </w:tcBorders>
            <w:vAlign w:val="center"/>
          </w:tcPr>
          <w:p w14:paraId="403B2C25">
            <w:pPr>
              <w:spacing w:line="360" w:lineRule="auto"/>
              <w:jc w:val="center"/>
              <w:rPr>
                <w:color w:val="000000"/>
                <w:sz w:val="24"/>
                <w:szCs w:val="24"/>
              </w:rPr>
            </w:pPr>
            <w:r>
              <w:rPr>
                <w:rFonts w:hint="eastAsia"/>
                <w:color w:val="000000"/>
                <w:sz w:val="24"/>
                <w:szCs w:val="24"/>
              </w:rPr>
              <w:t>11</w:t>
            </w:r>
          </w:p>
        </w:tc>
        <w:tc>
          <w:tcPr>
            <w:tcW w:w="652" w:type="pct"/>
            <w:vMerge w:val="continue"/>
            <w:tcBorders>
              <w:top w:val="nil"/>
              <w:left w:val="single" w:color="auto" w:sz="4" w:space="0"/>
              <w:bottom w:val="single" w:color="auto" w:sz="4" w:space="0"/>
              <w:right w:val="single" w:color="auto" w:sz="4" w:space="0"/>
            </w:tcBorders>
            <w:vAlign w:val="center"/>
          </w:tcPr>
          <w:p w14:paraId="7221B6B9">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2F54DB49">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24257596">
            <w:pPr>
              <w:spacing w:line="360" w:lineRule="auto"/>
              <w:rPr>
                <w:color w:val="000000"/>
                <w:sz w:val="24"/>
                <w:szCs w:val="24"/>
              </w:rPr>
            </w:pPr>
            <w:r>
              <w:rPr>
                <w:rFonts w:hint="eastAsia"/>
                <w:color w:val="000000"/>
                <w:sz w:val="24"/>
                <w:szCs w:val="24"/>
              </w:rPr>
              <w:t>指标趋势分析：对医院医保付费的关键指标进行趋势分析，包括：病案入组的病案类型占比、支付情况、病组覆盖及入组占比情况等，同时对院内科室与院内病组的超支结余情况与人次等指标进行分析。</w:t>
            </w:r>
          </w:p>
        </w:tc>
      </w:tr>
      <w:tr w14:paraId="245661A7">
        <w:tblPrEx>
          <w:tblCellMar>
            <w:top w:w="0" w:type="dxa"/>
            <w:left w:w="108" w:type="dxa"/>
            <w:bottom w:w="0" w:type="dxa"/>
            <w:right w:w="108" w:type="dxa"/>
          </w:tblCellMar>
        </w:tblPrEx>
        <w:trPr>
          <w:trHeight w:val="1244" w:hRule="atLeast"/>
        </w:trPr>
        <w:tc>
          <w:tcPr>
            <w:tcW w:w="361" w:type="pct"/>
            <w:tcBorders>
              <w:top w:val="nil"/>
              <w:left w:val="single" w:color="auto" w:sz="4" w:space="0"/>
              <w:bottom w:val="single" w:color="auto" w:sz="4" w:space="0"/>
              <w:right w:val="single" w:color="auto" w:sz="4" w:space="0"/>
            </w:tcBorders>
            <w:vAlign w:val="center"/>
          </w:tcPr>
          <w:p w14:paraId="4D57FE3B">
            <w:pPr>
              <w:spacing w:line="360" w:lineRule="auto"/>
              <w:jc w:val="center"/>
              <w:rPr>
                <w:color w:val="000000"/>
                <w:sz w:val="24"/>
                <w:szCs w:val="24"/>
              </w:rPr>
            </w:pPr>
            <w:r>
              <w:rPr>
                <w:rFonts w:hint="eastAsia"/>
                <w:color w:val="000000"/>
                <w:sz w:val="24"/>
                <w:szCs w:val="24"/>
              </w:rPr>
              <w:t>12</w:t>
            </w:r>
          </w:p>
        </w:tc>
        <w:tc>
          <w:tcPr>
            <w:tcW w:w="652" w:type="pct"/>
            <w:vMerge w:val="continue"/>
            <w:tcBorders>
              <w:top w:val="nil"/>
              <w:left w:val="single" w:color="auto" w:sz="4" w:space="0"/>
              <w:bottom w:val="single" w:color="auto" w:sz="4" w:space="0"/>
              <w:right w:val="single" w:color="auto" w:sz="4" w:space="0"/>
            </w:tcBorders>
            <w:vAlign w:val="center"/>
          </w:tcPr>
          <w:p w14:paraId="5E4F768A">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5FD78E93">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155CF8F8">
            <w:pPr>
              <w:spacing w:line="360" w:lineRule="auto"/>
              <w:rPr>
                <w:color w:val="000000"/>
                <w:sz w:val="24"/>
                <w:szCs w:val="24"/>
              </w:rPr>
            </w:pPr>
            <w:r>
              <w:rPr>
                <w:rFonts w:hint="eastAsia"/>
                <w:color w:val="000000"/>
                <w:sz w:val="24"/>
                <w:szCs w:val="24"/>
              </w:rPr>
              <w:t>盈亏分析报告：系统根据全方位盈亏挖掘分析结果，一键式生成医院按病种分值付费（DIP）、床日、单病种、项目等多种支付方式的盈亏分析报告。报告支持按年度、月度、起止时间生成，支持图文表并茂展现，支持导出成word格式。</w:t>
            </w:r>
          </w:p>
        </w:tc>
      </w:tr>
      <w:tr w14:paraId="268674AF">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22950852">
            <w:pPr>
              <w:spacing w:line="360" w:lineRule="auto"/>
              <w:jc w:val="center"/>
              <w:rPr>
                <w:color w:val="000000"/>
                <w:sz w:val="24"/>
                <w:szCs w:val="24"/>
              </w:rPr>
            </w:pPr>
            <w:r>
              <w:rPr>
                <w:rFonts w:hint="eastAsia"/>
                <w:color w:val="000000"/>
                <w:sz w:val="24"/>
                <w:szCs w:val="24"/>
              </w:rPr>
              <w:t>13</w:t>
            </w:r>
          </w:p>
        </w:tc>
        <w:tc>
          <w:tcPr>
            <w:tcW w:w="652" w:type="pct"/>
            <w:vMerge w:val="restart"/>
            <w:tcBorders>
              <w:top w:val="nil"/>
              <w:left w:val="single" w:color="auto" w:sz="4" w:space="0"/>
              <w:bottom w:val="single" w:color="auto" w:sz="4" w:space="0"/>
              <w:right w:val="single" w:color="auto" w:sz="4" w:space="0"/>
            </w:tcBorders>
            <w:noWrap/>
            <w:vAlign w:val="center"/>
          </w:tcPr>
          <w:p w14:paraId="1AF3499E">
            <w:pPr>
              <w:spacing w:line="360" w:lineRule="auto"/>
              <w:jc w:val="center"/>
              <w:rPr>
                <w:color w:val="000000"/>
                <w:sz w:val="24"/>
                <w:szCs w:val="24"/>
              </w:rPr>
            </w:pPr>
            <w:r>
              <w:rPr>
                <w:rFonts w:hint="eastAsia"/>
                <w:color w:val="000000"/>
                <w:sz w:val="24"/>
                <w:szCs w:val="24"/>
              </w:rPr>
              <w:t>绩效考核评价</w:t>
            </w:r>
          </w:p>
        </w:tc>
        <w:tc>
          <w:tcPr>
            <w:tcW w:w="1159" w:type="pct"/>
            <w:vMerge w:val="restart"/>
            <w:tcBorders>
              <w:top w:val="single" w:color="auto" w:sz="4" w:space="0"/>
              <w:left w:val="single" w:color="auto" w:sz="4" w:space="0"/>
              <w:bottom w:val="single" w:color="auto" w:sz="4" w:space="0"/>
              <w:right w:val="single" w:color="auto" w:sz="4" w:space="0"/>
            </w:tcBorders>
            <w:vAlign w:val="center"/>
          </w:tcPr>
          <w:p w14:paraId="239220DB">
            <w:pPr>
              <w:spacing w:line="360" w:lineRule="auto"/>
              <w:rPr>
                <w:color w:val="000000"/>
                <w:sz w:val="24"/>
                <w:szCs w:val="24"/>
              </w:rPr>
            </w:pPr>
            <w:r>
              <w:rPr>
                <w:rFonts w:hint="eastAsia"/>
                <w:color w:val="000000"/>
                <w:sz w:val="24"/>
                <w:szCs w:val="24"/>
              </w:rPr>
              <w:t>基于DIP分组规则，从全院、科室、病区、诊疗组、医师、个案、病组等维度分析挖掘医院的医疗服务能力和服务效率，并对负向指标进行监管。具体指标包含DIP病组数、病组覆盖率、CMI、总分值、时间消耗指数、费用消耗指数、低风险组死亡、中低风险组死亡、低标入院、15天内再住院等，同时通过病种CMI和盈亏分析，科室CMI和盈亏分析，帮助医院查找优劣势专科，进而明确重点专科发展方向</w:t>
            </w:r>
          </w:p>
        </w:tc>
        <w:tc>
          <w:tcPr>
            <w:tcW w:w="2826" w:type="pct"/>
            <w:tcBorders>
              <w:top w:val="single" w:color="auto" w:sz="4" w:space="0"/>
              <w:left w:val="single" w:color="auto" w:sz="4" w:space="0"/>
              <w:bottom w:val="single" w:color="auto" w:sz="4" w:space="0"/>
              <w:right w:val="single" w:color="auto" w:sz="4" w:space="0"/>
            </w:tcBorders>
            <w:vAlign w:val="center"/>
          </w:tcPr>
          <w:p w14:paraId="5AF42EB1">
            <w:pPr>
              <w:spacing w:line="360" w:lineRule="auto"/>
              <w:rPr>
                <w:color w:val="000000"/>
                <w:sz w:val="24"/>
                <w:szCs w:val="24"/>
              </w:rPr>
            </w:pPr>
            <w:r>
              <w:rPr>
                <w:rFonts w:hint="eastAsia"/>
                <w:color w:val="000000"/>
                <w:sz w:val="24"/>
                <w:szCs w:val="24"/>
              </w:rPr>
              <w:t>医疗能力发展：从病组覆盖情况、能力指数情况、外科手术情况、病组RW构成、科室工作量等分析医院医疗能力发展情况</w:t>
            </w:r>
          </w:p>
        </w:tc>
      </w:tr>
      <w:tr w14:paraId="6B3814CA">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248CD367">
            <w:pPr>
              <w:spacing w:line="360" w:lineRule="auto"/>
              <w:jc w:val="center"/>
              <w:rPr>
                <w:color w:val="000000"/>
                <w:sz w:val="24"/>
                <w:szCs w:val="24"/>
              </w:rPr>
            </w:pPr>
            <w:r>
              <w:rPr>
                <w:rFonts w:hint="eastAsia"/>
                <w:color w:val="000000"/>
                <w:sz w:val="24"/>
                <w:szCs w:val="24"/>
              </w:rPr>
              <w:t>14</w:t>
            </w:r>
          </w:p>
        </w:tc>
        <w:tc>
          <w:tcPr>
            <w:tcW w:w="652" w:type="pct"/>
            <w:vMerge w:val="continue"/>
            <w:tcBorders>
              <w:top w:val="nil"/>
              <w:left w:val="single" w:color="auto" w:sz="4" w:space="0"/>
              <w:bottom w:val="single" w:color="auto" w:sz="4" w:space="0"/>
              <w:right w:val="single" w:color="auto" w:sz="4" w:space="0"/>
            </w:tcBorders>
            <w:vAlign w:val="center"/>
          </w:tcPr>
          <w:p w14:paraId="5FB9165D">
            <w:pPr>
              <w:spacing w:line="360" w:lineRule="auto"/>
              <w:rPr>
                <w:color w:val="000000"/>
                <w:sz w:val="24"/>
                <w:szCs w:val="24"/>
              </w:rPr>
            </w:pPr>
          </w:p>
        </w:tc>
        <w:tc>
          <w:tcPr>
            <w:tcW w:w="1159" w:type="pct"/>
            <w:vMerge w:val="continue"/>
            <w:tcBorders>
              <w:top w:val="single" w:color="auto" w:sz="4" w:space="0"/>
              <w:left w:val="single" w:color="auto" w:sz="4" w:space="0"/>
              <w:bottom w:val="single" w:color="auto" w:sz="4" w:space="0"/>
              <w:right w:val="single" w:color="auto" w:sz="4" w:space="0"/>
            </w:tcBorders>
            <w:vAlign w:val="center"/>
          </w:tcPr>
          <w:p w14:paraId="79B1E74E">
            <w:pPr>
              <w:spacing w:line="360" w:lineRule="auto"/>
              <w:rPr>
                <w:color w:val="000000"/>
                <w:sz w:val="24"/>
                <w:szCs w:val="24"/>
              </w:rPr>
            </w:pPr>
          </w:p>
        </w:tc>
        <w:tc>
          <w:tcPr>
            <w:tcW w:w="2826" w:type="pct"/>
            <w:tcBorders>
              <w:top w:val="single" w:color="auto" w:sz="4" w:space="0"/>
              <w:left w:val="single" w:color="auto" w:sz="4" w:space="0"/>
              <w:bottom w:val="single" w:color="auto" w:sz="4" w:space="0"/>
              <w:right w:val="single" w:color="auto" w:sz="4" w:space="0"/>
            </w:tcBorders>
            <w:vAlign w:val="center"/>
          </w:tcPr>
          <w:p w14:paraId="643A10EB">
            <w:pPr>
              <w:spacing w:line="360" w:lineRule="auto"/>
              <w:rPr>
                <w:color w:val="000000"/>
                <w:sz w:val="24"/>
                <w:szCs w:val="24"/>
              </w:rPr>
            </w:pPr>
            <w:r>
              <w:rPr>
                <w:rFonts w:hint="eastAsia"/>
                <w:color w:val="000000"/>
                <w:sz w:val="24"/>
                <w:szCs w:val="24"/>
              </w:rPr>
              <w:t>运营效率分析：从全院、科室、诊疗组、病组等维度分析平均住院日、时间消耗指数、费用消耗指数等指标以图表相结合的形式分析医院运行效率。</w:t>
            </w:r>
          </w:p>
        </w:tc>
      </w:tr>
      <w:tr w14:paraId="36293C1B">
        <w:tblPrEx>
          <w:tblCellMar>
            <w:top w:w="0" w:type="dxa"/>
            <w:left w:w="108" w:type="dxa"/>
            <w:bottom w:w="0" w:type="dxa"/>
            <w:right w:w="108" w:type="dxa"/>
          </w:tblCellMar>
        </w:tblPrEx>
        <w:trPr>
          <w:trHeight w:val="643" w:hRule="atLeast"/>
        </w:trPr>
        <w:tc>
          <w:tcPr>
            <w:tcW w:w="361" w:type="pct"/>
            <w:tcBorders>
              <w:top w:val="nil"/>
              <w:left w:val="single" w:color="auto" w:sz="4" w:space="0"/>
              <w:bottom w:val="single" w:color="auto" w:sz="4" w:space="0"/>
              <w:right w:val="single" w:color="auto" w:sz="4" w:space="0"/>
            </w:tcBorders>
            <w:vAlign w:val="center"/>
          </w:tcPr>
          <w:p w14:paraId="6D40CDC9">
            <w:pPr>
              <w:spacing w:line="360" w:lineRule="auto"/>
              <w:jc w:val="center"/>
              <w:rPr>
                <w:color w:val="000000"/>
                <w:sz w:val="24"/>
                <w:szCs w:val="24"/>
              </w:rPr>
            </w:pPr>
            <w:r>
              <w:rPr>
                <w:rFonts w:hint="eastAsia"/>
                <w:color w:val="000000"/>
                <w:sz w:val="24"/>
                <w:szCs w:val="24"/>
              </w:rPr>
              <w:t>15</w:t>
            </w:r>
          </w:p>
        </w:tc>
        <w:tc>
          <w:tcPr>
            <w:tcW w:w="652" w:type="pct"/>
            <w:vMerge w:val="continue"/>
            <w:tcBorders>
              <w:top w:val="nil"/>
              <w:left w:val="single" w:color="auto" w:sz="4" w:space="0"/>
              <w:bottom w:val="single" w:color="auto" w:sz="4" w:space="0"/>
              <w:right w:val="single" w:color="auto" w:sz="4" w:space="0"/>
            </w:tcBorders>
            <w:vAlign w:val="center"/>
          </w:tcPr>
          <w:p w14:paraId="210D0B71">
            <w:pPr>
              <w:spacing w:line="360" w:lineRule="auto"/>
              <w:rPr>
                <w:color w:val="000000"/>
                <w:sz w:val="24"/>
                <w:szCs w:val="24"/>
              </w:rPr>
            </w:pPr>
          </w:p>
        </w:tc>
        <w:tc>
          <w:tcPr>
            <w:tcW w:w="1159" w:type="pct"/>
            <w:vMerge w:val="continue"/>
            <w:tcBorders>
              <w:top w:val="single" w:color="auto" w:sz="4" w:space="0"/>
              <w:left w:val="single" w:color="auto" w:sz="4" w:space="0"/>
              <w:bottom w:val="single" w:color="auto" w:sz="4" w:space="0"/>
              <w:right w:val="single" w:color="auto" w:sz="4" w:space="0"/>
            </w:tcBorders>
            <w:vAlign w:val="center"/>
          </w:tcPr>
          <w:p w14:paraId="6F74FC2D">
            <w:pPr>
              <w:spacing w:line="360" w:lineRule="auto"/>
              <w:rPr>
                <w:color w:val="000000"/>
                <w:sz w:val="24"/>
                <w:szCs w:val="24"/>
              </w:rPr>
            </w:pPr>
          </w:p>
        </w:tc>
        <w:tc>
          <w:tcPr>
            <w:tcW w:w="2826" w:type="pct"/>
            <w:tcBorders>
              <w:top w:val="single" w:color="auto" w:sz="4" w:space="0"/>
              <w:left w:val="single" w:color="auto" w:sz="4" w:space="0"/>
              <w:bottom w:val="single" w:color="auto" w:sz="4" w:space="0"/>
              <w:right w:val="single" w:color="auto" w:sz="4" w:space="0"/>
            </w:tcBorders>
            <w:noWrap/>
            <w:vAlign w:val="center"/>
          </w:tcPr>
          <w:p w14:paraId="6D4BA845">
            <w:pPr>
              <w:spacing w:line="360" w:lineRule="auto"/>
              <w:rPr>
                <w:color w:val="000000"/>
                <w:sz w:val="24"/>
                <w:szCs w:val="24"/>
              </w:rPr>
            </w:pPr>
            <w:r>
              <w:rPr>
                <w:rFonts w:hint="eastAsia"/>
                <w:color w:val="000000"/>
                <w:sz w:val="24"/>
                <w:szCs w:val="24"/>
              </w:rPr>
              <w:t>控费成效分析：提供了CMI变化率、组数变化率、均次费用变化率和平均住院天数变化率的增减情况</w:t>
            </w:r>
          </w:p>
        </w:tc>
      </w:tr>
      <w:tr w14:paraId="2350D4E3">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4049E549">
            <w:pPr>
              <w:spacing w:line="360" w:lineRule="auto"/>
              <w:jc w:val="center"/>
              <w:rPr>
                <w:color w:val="000000"/>
                <w:sz w:val="24"/>
                <w:szCs w:val="24"/>
              </w:rPr>
            </w:pPr>
            <w:r>
              <w:rPr>
                <w:rFonts w:hint="eastAsia"/>
                <w:color w:val="000000"/>
                <w:sz w:val="24"/>
                <w:szCs w:val="24"/>
              </w:rPr>
              <w:t>16</w:t>
            </w:r>
          </w:p>
        </w:tc>
        <w:tc>
          <w:tcPr>
            <w:tcW w:w="652" w:type="pct"/>
            <w:vMerge w:val="continue"/>
            <w:tcBorders>
              <w:top w:val="nil"/>
              <w:left w:val="single" w:color="auto" w:sz="4" w:space="0"/>
              <w:bottom w:val="single" w:color="auto" w:sz="4" w:space="0"/>
              <w:right w:val="single" w:color="auto" w:sz="4" w:space="0"/>
            </w:tcBorders>
            <w:vAlign w:val="center"/>
          </w:tcPr>
          <w:p w14:paraId="494418D1">
            <w:pPr>
              <w:spacing w:line="360" w:lineRule="auto"/>
              <w:rPr>
                <w:color w:val="000000"/>
                <w:sz w:val="24"/>
                <w:szCs w:val="24"/>
              </w:rPr>
            </w:pPr>
          </w:p>
        </w:tc>
        <w:tc>
          <w:tcPr>
            <w:tcW w:w="1159" w:type="pct"/>
            <w:vMerge w:val="continue"/>
            <w:tcBorders>
              <w:top w:val="single" w:color="auto" w:sz="4" w:space="0"/>
              <w:left w:val="single" w:color="auto" w:sz="4" w:space="0"/>
              <w:bottom w:val="single" w:color="auto" w:sz="4" w:space="0"/>
              <w:right w:val="single" w:color="auto" w:sz="4" w:space="0"/>
            </w:tcBorders>
            <w:vAlign w:val="center"/>
          </w:tcPr>
          <w:p w14:paraId="0C0D88B0">
            <w:pPr>
              <w:spacing w:line="360" w:lineRule="auto"/>
              <w:rPr>
                <w:color w:val="000000"/>
                <w:sz w:val="24"/>
                <w:szCs w:val="24"/>
              </w:rPr>
            </w:pPr>
          </w:p>
        </w:tc>
        <w:tc>
          <w:tcPr>
            <w:tcW w:w="2826" w:type="pct"/>
            <w:tcBorders>
              <w:top w:val="single" w:color="auto" w:sz="4" w:space="0"/>
              <w:left w:val="single" w:color="auto" w:sz="4" w:space="0"/>
              <w:bottom w:val="single" w:color="auto" w:sz="4" w:space="0"/>
              <w:right w:val="single" w:color="auto" w:sz="4" w:space="0"/>
            </w:tcBorders>
            <w:noWrap/>
            <w:vAlign w:val="center"/>
          </w:tcPr>
          <w:p w14:paraId="17C03EE1">
            <w:pPr>
              <w:spacing w:line="360" w:lineRule="auto"/>
              <w:rPr>
                <w:color w:val="000000"/>
                <w:sz w:val="24"/>
                <w:szCs w:val="24"/>
              </w:rPr>
            </w:pPr>
            <w:r>
              <w:rPr>
                <w:rFonts w:hint="eastAsia"/>
                <w:color w:val="000000"/>
                <w:sz w:val="24"/>
                <w:szCs w:val="24"/>
              </w:rPr>
              <w:t>负向指标监管：从全院、科室、时间维度对两周内再住院数、低标入院病例数、超长住院病例数、死亡人数、低风险死亡病例数、中低风险死亡病例数等指标进行监管分析</w:t>
            </w:r>
          </w:p>
        </w:tc>
      </w:tr>
      <w:tr w14:paraId="75424AB1">
        <w:tblPrEx>
          <w:tblCellMar>
            <w:top w:w="0" w:type="dxa"/>
            <w:left w:w="108" w:type="dxa"/>
            <w:bottom w:w="0" w:type="dxa"/>
            <w:right w:w="108" w:type="dxa"/>
          </w:tblCellMar>
        </w:tblPrEx>
        <w:trPr>
          <w:trHeight w:val="2038" w:hRule="atLeast"/>
        </w:trPr>
        <w:tc>
          <w:tcPr>
            <w:tcW w:w="361" w:type="pct"/>
            <w:tcBorders>
              <w:top w:val="nil"/>
              <w:left w:val="single" w:color="auto" w:sz="4" w:space="0"/>
              <w:bottom w:val="single" w:color="auto" w:sz="4" w:space="0"/>
              <w:right w:val="single" w:color="auto" w:sz="4" w:space="0"/>
            </w:tcBorders>
            <w:vAlign w:val="center"/>
          </w:tcPr>
          <w:p w14:paraId="1E343213">
            <w:pPr>
              <w:spacing w:line="360" w:lineRule="auto"/>
              <w:jc w:val="center"/>
              <w:rPr>
                <w:color w:val="000000"/>
                <w:sz w:val="24"/>
                <w:szCs w:val="24"/>
              </w:rPr>
            </w:pPr>
            <w:r>
              <w:rPr>
                <w:rFonts w:hint="eastAsia"/>
                <w:color w:val="000000"/>
                <w:sz w:val="24"/>
                <w:szCs w:val="24"/>
              </w:rPr>
              <w:t>17</w:t>
            </w:r>
          </w:p>
        </w:tc>
        <w:tc>
          <w:tcPr>
            <w:tcW w:w="652" w:type="pct"/>
            <w:vMerge w:val="continue"/>
            <w:tcBorders>
              <w:top w:val="nil"/>
              <w:left w:val="single" w:color="auto" w:sz="4" w:space="0"/>
              <w:bottom w:val="single" w:color="auto" w:sz="4" w:space="0"/>
              <w:right w:val="single" w:color="auto" w:sz="4" w:space="0"/>
            </w:tcBorders>
            <w:vAlign w:val="center"/>
          </w:tcPr>
          <w:p w14:paraId="2BE2E383">
            <w:pPr>
              <w:spacing w:line="360" w:lineRule="auto"/>
              <w:rPr>
                <w:color w:val="000000"/>
                <w:sz w:val="24"/>
                <w:szCs w:val="24"/>
              </w:rPr>
            </w:pPr>
          </w:p>
        </w:tc>
        <w:tc>
          <w:tcPr>
            <w:tcW w:w="1159" w:type="pct"/>
            <w:vMerge w:val="continue"/>
            <w:tcBorders>
              <w:top w:val="single" w:color="auto" w:sz="4" w:space="0"/>
              <w:left w:val="single" w:color="auto" w:sz="4" w:space="0"/>
              <w:bottom w:val="single" w:color="auto" w:sz="4" w:space="0"/>
              <w:right w:val="single" w:color="auto" w:sz="4" w:space="0"/>
            </w:tcBorders>
            <w:vAlign w:val="center"/>
          </w:tcPr>
          <w:p w14:paraId="4B6EDCA6">
            <w:pPr>
              <w:spacing w:line="360" w:lineRule="auto"/>
              <w:rPr>
                <w:color w:val="000000"/>
                <w:sz w:val="24"/>
                <w:szCs w:val="24"/>
              </w:rPr>
            </w:pPr>
          </w:p>
        </w:tc>
        <w:tc>
          <w:tcPr>
            <w:tcW w:w="2826" w:type="pct"/>
            <w:tcBorders>
              <w:top w:val="single" w:color="auto" w:sz="4" w:space="0"/>
              <w:left w:val="single" w:color="auto" w:sz="4" w:space="0"/>
              <w:bottom w:val="single" w:color="auto" w:sz="4" w:space="0"/>
              <w:right w:val="single" w:color="auto" w:sz="4" w:space="0"/>
            </w:tcBorders>
            <w:noWrap/>
            <w:vAlign w:val="center"/>
          </w:tcPr>
          <w:p w14:paraId="7499E39C">
            <w:pPr>
              <w:spacing w:line="360" w:lineRule="auto"/>
              <w:rPr>
                <w:color w:val="000000"/>
                <w:sz w:val="24"/>
                <w:szCs w:val="24"/>
              </w:rPr>
            </w:pPr>
            <w:r>
              <w:rPr>
                <w:rFonts w:hint="eastAsia"/>
                <w:color w:val="000000"/>
                <w:sz w:val="24"/>
                <w:szCs w:val="24"/>
              </w:rPr>
              <w:t>科室/病种象限分析：CMI与结余来对各科室进行分析，定位优劣势科室，进而明确重点专科发展方向。</w:t>
            </w:r>
          </w:p>
        </w:tc>
      </w:tr>
      <w:tr w14:paraId="289D768F">
        <w:tblPrEx>
          <w:tblCellMar>
            <w:top w:w="0" w:type="dxa"/>
            <w:left w:w="108" w:type="dxa"/>
            <w:bottom w:w="0" w:type="dxa"/>
            <w:right w:w="108" w:type="dxa"/>
          </w:tblCellMar>
        </w:tblPrEx>
        <w:trPr>
          <w:trHeight w:val="90" w:hRule="atLeast"/>
        </w:trPr>
        <w:tc>
          <w:tcPr>
            <w:tcW w:w="361" w:type="pct"/>
            <w:tcBorders>
              <w:top w:val="nil"/>
              <w:left w:val="single" w:color="auto" w:sz="4" w:space="0"/>
              <w:bottom w:val="single" w:color="auto" w:sz="4" w:space="0"/>
              <w:right w:val="single" w:color="auto" w:sz="4" w:space="0"/>
            </w:tcBorders>
            <w:vAlign w:val="center"/>
          </w:tcPr>
          <w:p w14:paraId="7A6C11B1">
            <w:pPr>
              <w:spacing w:line="360" w:lineRule="auto"/>
              <w:jc w:val="center"/>
              <w:rPr>
                <w:color w:val="000000"/>
                <w:sz w:val="24"/>
                <w:szCs w:val="24"/>
              </w:rPr>
            </w:pPr>
            <w:r>
              <w:rPr>
                <w:rFonts w:hint="eastAsia"/>
                <w:color w:val="000000"/>
                <w:sz w:val="24"/>
                <w:szCs w:val="24"/>
              </w:rPr>
              <w:t>18</w:t>
            </w:r>
          </w:p>
        </w:tc>
        <w:tc>
          <w:tcPr>
            <w:tcW w:w="652" w:type="pct"/>
            <w:vMerge w:val="restart"/>
            <w:tcBorders>
              <w:top w:val="nil"/>
              <w:left w:val="single" w:color="auto" w:sz="4" w:space="0"/>
              <w:bottom w:val="single" w:color="auto" w:sz="4" w:space="0"/>
              <w:right w:val="single" w:color="auto" w:sz="4" w:space="0"/>
            </w:tcBorders>
            <w:noWrap/>
            <w:vAlign w:val="center"/>
          </w:tcPr>
          <w:p w14:paraId="27D50403">
            <w:pPr>
              <w:spacing w:line="360" w:lineRule="auto"/>
              <w:jc w:val="center"/>
              <w:rPr>
                <w:color w:val="000000"/>
                <w:sz w:val="24"/>
                <w:szCs w:val="24"/>
              </w:rPr>
            </w:pPr>
            <w:r>
              <w:rPr>
                <w:rFonts w:hint="eastAsia"/>
                <w:color w:val="000000"/>
                <w:sz w:val="24"/>
                <w:szCs w:val="24"/>
              </w:rPr>
              <w:t>数据管理与监控</w:t>
            </w:r>
          </w:p>
        </w:tc>
        <w:tc>
          <w:tcPr>
            <w:tcW w:w="1159" w:type="pct"/>
            <w:vMerge w:val="restart"/>
            <w:tcBorders>
              <w:top w:val="single" w:color="auto" w:sz="4" w:space="0"/>
              <w:left w:val="single" w:color="auto" w:sz="4" w:space="0"/>
              <w:bottom w:val="single" w:color="auto" w:sz="4" w:space="0"/>
              <w:right w:val="single" w:color="auto" w:sz="4" w:space="0"/>
            </w:tcBorders>
            <w:vAlign w:val="center"/>
          </w:tcPr>
          <w:p w14:paraId="09A8F13F">
            <w:pPr>
              <w:spacing w:line="360" w:lineRule="auto"/>
              <w:rPr>
                <w:color w:val="000000"/>
                <w:sz w:val="24"/>
                <w:szCs w:val="24"/>
              </w:rPr>
            </w:pPr>
            <w:r>
              <w:rPr>
                <w:rFonts w:hint="eastAsia"/>
                <w:color w:val="000000"/>
                <w:sz w:val="24"/>
                <w:szCs w:val="24"/>
              </w:rPr>
              <w:t>将与HIS/EMR对接的结算清单数据和医保反馈数据统一管理，支持在系统中实现医保对账和医保申诉管理；对于审核无误的结算清单支持自动和手动上传至省医保平台，并对结算清单数据从对接到上传全过程监控，确保问题及时调整。</w:t>
            </w:r>
          </w:p>
        </w:tc>
        <w:tc>
          <w:tcPr>
            <w:tcW w:w="2826" w:type="pct"/>
            <w:tcBorders>
              <w:top w:val="single" w:color="auto" w:sz="4" w:space="0"/>
              <w:left w:val="nil"/>
              <w:bottom w:val="single" w:color="auto" w:sz="4" w:space="0"/>
              <w:right w:val="single" w:color="auto" w:sz="4" w:space="0"/>
            </w:tcBorders>
            <w:vAlign w:val="center"/>
          </w:tcPr>
          <w:p w14:paraId="2C776E18">
            <w:pPr>
              <w:spacing w:line="360" w:lineRule="auto"/>
              <w:rPr>
                <w:color w:val="000000"/>
                <w:sz w:val="24"/>
                <w:szCs w:val="24"/>
              </w:rPr>
            </w:pPr>
            <w:r>
              <w:rPr>
                <w:rFonts w:hint="eastAsia"/>
                <w:color w:val="000000"/>
                <w:sz w:val="24"/>
                <w:szCs w:val="24"/>
              </w:rPr>
              <w:t>清单上传管理：对接过来的结算清单数据，系统提供了统一的管理页面。支持自动、手动上传至医保平台，同时提供上传结果日志，用于监控清单上传情况。同时与清单修改结合，上传失败直接定位修改。</w:t>
            </w:r>
          </w:p>
        </w:tc>
      </w:tr>
      <w:tr w14:paraId="63F92B85">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55464F69">
            <w:pPr>
              <w:spacing w:line="360" w:lineRule="auto"/>
              <w:jc w:val="center"/>
              <w:rPr>
                <w:color w:val="000000"/>
                <w:sz w:val="24"/>
                <w:szCs w:val="24"/>
              </w:rPr>
            </w:pPr>
            <w:r>
              <w:rPr>
                <w:rFonts w:hint="eastAsia"/>
                <w:color w:val="000000"/>
                <w:sz w:val="24"/>
                <w:szCs w:val="24"/>
              </w:rPr>
              <w:t>19</w:t>
            </w:r>
          </w:p>
        </w:tc>
        <w:tc>
          <w:tcPr>
            <w:tcW w:w="652" w:type="pct"/>
            <w:vMerge w:val="continue"/>
            <w:tcBorders>
              <w:top w:val="nil"/>
              <w:left w:val="single" w:color="auto" w:sz="4" w:space="0"/>
              <w:bottom w:val="single" w:color="auto" w:sz="4" w:space="0"/>
              <w:right w:val="single" w:color="auto" w:sz="4" w:space="0"/>
            </w:tcBorders>
            <w:vAlign w:val="center"/>
          </w:tcPr>
          <w:p w14:paraId="290BDAD9">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6D772436">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3A8D9335">
            <w:pPr>
              <w:spacing w:line="360" w:lineRule="auto"/>
              <w:rPr>
                <w:color w:val="000000"/>
                <w:sz w:val="24"/>
                <w:szCs w:val="24"/>
              </w:rPr>
            </w:pPr>
            <w:r>
              <w:rPr>
                <w:rFonts w:hint="eastAsia"/>
                <w:color w:val="000000"/>
                <w:sz w:val="24"/>
                <w:szCs w:val="24"/>
              </w:rPr>
              <w:t>清单统计：提供每日清单量统计功能，提供清单锁定、解锁功能，医保待传清单、接入清单、已传清单、双向匹配清单数等统计核查功能。</w:t>
            </w:r>
          </w:p>
        </w:tc>
      </w:tr>
      <w:tr w14:paraId="77BADEFB">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3B9FE8D4">
            <w:pPr>
              <w:spacing w:line="360" w:lineRule="auto"/>
              <w:jc w:val="center"/>
              <w:rPr>
                <w:color w:val="000000"/>
                <w:sz w:val="24"/>
                <w:szCs w:val="24"/>
              </w:rPr>
            </w:pPr>
            <w:r>
              <w:rPr>
                <w:rFonts w:hint="eastAsia"/>
                <w:color w:val="000000"/>
                <w:sz w:val="24"/>
                <w:szCs w:val="24"/>
              </w:rPr>
              <w:t>20</w:t>
            </w:r>
          </w:p>
        </w:tc>
        <w:tc>
          <w:tcPr>
            <w:tcW w:w="652" w:type="pct"/>
            <w:vMerge w:val="continue"/>
            <w:tcBorders>
              <w:top w:val="nil"/>
              <w:left w:val="single" w:color="auto" w:sz="4" w:space="0"/>
              <w:bottom w:val="single" w:color="auto" w:sz="4" w:space="0"/>
              <w:right w:val="single" w:color="auto" w:sz="4" w:space="0"/>
            </w:tcBorders>
            <w:vAlign w:val="center"/>
          </w:tcPr>
          <w:p w14:paraId="613BEB57">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357E849C">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059AEB8B">
            <w:pPr>
              <w:spacing w:line="360" w:lineRule="auto"/>
              <w:rPr>
                <w:color w:val="000000"/>
                <w:sz w:val="24"/>
                <w:szCs w:val="24"/>
              </w:rPr>
            </w:pPr>
            <w:r>
              <w:rPr>
                <w:rFonts w:hint="eastAsia"/>
                <w:color w:val="000000"/>
                <w:sz w:val="24"/>
                <w:szCs w:val="24"/>
              </w:rPr>
              <w:t>医保反馈管理：提供医保反馈数据一键导入即时分析功能，分析内容含全院、科室、病种、年月、结算率等不同主题分析，而所有病种数、病例数均可下钻。</w:t>
            </w:r>
          </w:p>
        </w:tc>
      </w:tr>
      <w:tr w14:paraId="19ED2454">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4F250A39">
            <w:pPr>
              <w:spacing w:line="360" w:lineRule="auto"/>
              <w:jc w:val="center"/>
              <w:rPr>
                <w:color w:val="000000"/>
                <w:sz w:val="24"/>
                <w:szCs w:val="24"/>
              </w:rPr>
            </w:pPr>
            <w:r>
              <w:rPr>
                <w:rFonts w:hint="eastAsia"/>
                <w:color w:val="000000"/>
                <w:sz w:val="24"/>
                <w:szCs w:val="24"/>
              </w:rPr>
              <w:t>21</w:t>
            </w:r>
          </w:p>
        </w:tc>
        <w:tc>
          <w:tcPr>
            <w:tcW w:w="652" w:type="pct"/>
            <w:vMerge w:val="continue"/>
            <w:tcBorders>
              <w:top w:val="nil"/>
              <w:left w:val="single" w:color="auto" w:sz="4" w:space="0"/>
              <w:bottom w:val="single" w:color="auto" w:sz="4" w:space="0"/>
              <w:right w:val="single" w:color="auto" w:sz="4" w:space="0"/>
            </w:tcBorders>
            <w:vAlign w:val="center"/>
          </w:tcPr>
          <w:p w14:paraId="3A6BA534">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05B4D92C">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2BD6BDD7">
            <w:pPr>
              <w:spacing w:line="360" w:lineRule="auto"/>
              <w:rPr>
                <w:color w:val="000000"/>
                <w:sz w:val="24"/>
                <w:szCs w:val="24"/>
              </w:rPr>
            </w:pPr>
            <w:r>
              <w:rPr>
                <w:rFonts w:hint="eastAsia"/>
                <w:color w:val="000000"/>
                <w:sz w:val="24"/>
                <w:szCs w:val="24"/>
              </w:rPr>
              <w:t>医保对账分析：对于DIP系统、医保4103上传结果、医保反馈结果进行三方数据对账分析，确保数据准确上传。年终清算不一致数据快速定位、重传。</w:t>
            </w:r>
          </w:p>
        </w:tc>
      </w:tr>
      <w:tr w14:paraId="507C7332">
        <w:tblPrEx>
          <w:tblCellMar>
            <w:top w:w="0" w:type="dxa"/>
            <w:left w:w="108" w:type="dxa"/>
            <w:bottom w:w="0" w:type="dxa"/>
            <w:right w:w="108" w:type="dxa"/>
          </w:tblCellMar>
        </w:tblPrEx>
        <w:trPr>
          <w:trHeight w:val="319" w:hRule="atLeast"/>
        </w:trPr>
        <w:tc>
          <w:tcPr>
            <w:tcW w:w="361" w:type="pct"/>
            <w:tcBorders>
              <w:top w:val="nil"/>
              <w:left w:val="single" w:color="auto" w:sz="4" w:space="0"/>
              <w:bottom w:val="single" w:color="auto" w:sz="4" w:space="0"/>
              <w:right w:val="single" w:color="auto" w:sz="4" w:space="0"/>
            </w:tcBorders>
            <w:vAlign w:val="center"/>
          </w:tcPr>
          <w:p w14:paraId="17AD08AC">
            <w:pPr>
              <w:spacing w:line="360" w:lineRule="auto"/>
              <w:jc w:val="center"/>
              <w:rPr>
                <w:color w:val="000000"/>
                <w:sz w:val="24"/>
                <w:szCs w:val="24"/>
              </w:rPr>
            </w:pPr>
            <w:r>
              <w:rPr>
                <w:rFonts w:hint="eastAsia"/>
                <w:color w:val="000000"/>
                <w:sz w:val="24"/>
                <w:szCs w:val="24"/>
              </w:rPr>
              <w:t>22</w:t>
            </w:r>
          </w:p>
        </w:tc>
        <w:tc>
          <w:tcPr>
            <w:tcW w:w="652" w:type="pct"/>
            <w:vMerge w:val="restart"/>
            <w:tcBorders>
              <w:top w:val="nil"/>
              <w:left w:val="single" w:color="auto" w:sz="4" w:space="0"/>
              <w:bottom w:val="single" w:color="auto" w:sz="4" w:space="0"/>
              <w:right w:val="single" w:color="auto" w:sz="4" w:space="0"/>
            </w:tcBorders>
            <w:noWrap/>
            <w:vAlign w:val="center"/>
          </w:tcPr>
          <w:p w14:paraId="7EA19B6F">
            <w:pPr>
              <w:spacing w:line="360" w:lineRule="auto"/>
              <w:jc w:val="center"/>
              <w:rPr>
                <w:color w:val="000000"/>
                <w:sz w:val="24"/>
                <w:szCs w:val="24"/>
              </w:rPr>
            </w:pPr>
            <w:r>
              <w:rPr>
                <w:rFonts w:hint="eastAsia"/>
                <w:color w:val="000000"/>
                <w:sz w:val="24"/>
                <w:szCs w:val="24"/>
              </w:rPr>
              <w:t>知识库管理</w:t>
            </w:r>
          </w:p>
        </w:tc>
        <w:tc>
          <w:tcPr>
            <w:tcW w:w="1159" w:type="pct"/>
            <w:vMerge w:val="restart"/>
            <w:tcBorders>
              <w:top w:val="nil"/>
              <w:left w:val="single" w:color="auto" w:sz="4" w:space="0"/>
              <w:bottom w:val="single" w:color="auto" w:sz="4" w:space="0"/>
              <w:right w:val="single" w:color="auto" w:sz="4" w:space="0"/>
            </w:tcBorders>
            <w:vAlign w:val="center"/>
          </w:tcPr>
          <w:p w14:paraId="24BBB4DA">
            <w:pPr>
              <w:spacing w:line="360" w:lineRule="auto"/>
              <w:rPr>
                <w:color w:val="000000"/>
                <w:sz w:val="24"/>
                <w:szCs w:val="24"/>
              </w:rPr>
            </w:pPr>
            <w:r>
              <w:rPr>
                <w:rFonts w:hint="eastAsia"/>
                <w:color w:val="000000"/>
                <w:sz w:val="24"/>
                <w:szCs w:val="24"/>
              </w:rPr>
              <w:t>将病组目录库、医保编码等形成知识库进行统一管理，且知识库支持知识累积和知识扩展。</w:t>
            </w:r>
          </w:p>
        </w:tc>
        <w:tc>
          <w:tcPr>
            <w:tcW w:w="2826" w:type="pct"/>
            <w:tcBorders>
              <w:top w:val="nil"/>
              <w:left w:val="nil"/>
              <w:bottom w:val="single" w:color="auto" w:sz="4" w:space="0"/>
              <w:right w:val="single" w:color="auto" w:sz="4" w:space="0"/>
            </w:tcBorders>
            <w:vAlign w:val="center"/>
          </w:tcPr>
          <w:p w14:paraId="50281C20">
            <w:pPr>
              <w:spacing w:line="360" w:lineRule="auto"/>
              <w:rPr>
                <w:color w:val="000000"/>
                <w:sz w:val="24"/>
                <w:szCs w:val="24"/>
              </w:rPr>
            </w:pPr>
            <w:r>
              <w:rPr>
                <w:rFonts w:hint="eastAsia"/>
                <w:color w:val="000000"/>
                <w:sz w:val="24"/>
                <w:szCs w:val="24"/>
              </w:rPr>
              <w:t>病组目录库管理：提供市本地DIP目录的多版本管理</w:t>
            </w:r>
          </w:p>
        </w:tc>
      </w:tr>
      <w:tr w14:paraId="73F8C281">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262A119E">
            <w:pPr>
              <w:spacing w:line="360" w:lineRule="auto"/>
              <w:jc w:val="center"/>
              <w:rPr>
                <w:color w:val="000000"/>
                <w:sz w:val="24"/>
                <w:szCs w:val="24"/>
              </w:rPr>
            </w:pPr>
            <w:r>
              <w:rPr>
                <w:rFonts w:hint="eastAsia"/>
                <w:color w:val="000000"/>
                <w:sz w:val="24"/>
                <w:szCs w:val="24"/>
              </w:rPr>
              <w:t>23</w:t>
            </w:r>
          </w:p>
        </w:tc>
        <w:tc>
          <w:tcPr>
            <w:tcW w:w="652" w:type="pct"/>
            <w:vMerge w:val="continue"/>
            <w:tcBorders>
              <w:top w:val="nil"/>
              <w:left w:val="single" w:color="auto" w:sz="4" w:space="0"/>
              <w:bottom w:val="single" w:color="auto" w:sz="4" w:space="0"/>
              <w:right w:val="single" w:color="auto" w:sz="4" w:space="0"/>
            </w:tcBorders>
            <w:vAlign w:val="center"/>
          </w:tcPr>
          <w:p w14:paraId="23E4B2A8">
            <w:pPr>
              <w:spacing w:line="360" w:lineRule="auto"/>
              <w:rPr>
                <w:color w:val="000000"/>
                <w:sz w:val="24"/>
                <w:szCs w:val="24"/>
              </w:rPr>
            </w:pPr>
          </w:p>
        </w:tc>
        <w:tc>
          <w:tcPr>
            <w:tcW w:w="1159" w:type="pct"/>
            <w:vMerge w:val="continue"/>
            <w:tcBorders>
              <w:top w:val="nil"/>
              <w:left w:val="single" w:color="auto" w:sz="4" w:space="0"/>
              <w:bottom w:val="single" w:color="auto" w:sz="4" w:space="0"/>
              <w:right w:val="single" w:color="auto" w:sz="4" w:space="0"/>
            </w:tcBorders>
            <w:vAlign w:val="center"/>
          </w:tcPr>
          <w:p w14:paraId="4E145458">
            <w:pPr>
              <w:spacing w:line="360" w:lineRule="auto"/>
              <w:rPr>
                <w:color w:val="000000"/>
                <w:sz w:val="24"/>
                <w:szCs w:val="24"/>
              </w:rPr>
            </w:pPr>
          </w:p>
        </w:tc>
        <w:tc>
          <w:tcPr>
            <w:tcW w:w="2826" w:type="pct"/>
            <w:tcBorders>
              <w:top w:val="nil"/>
              <w:left w:val="nil"/>
              <w:bottom w:val="single" w:color="auto" w:sz="4" w:space="0"/>
              <w:right w:val="single" w:color="auto" w:sz="4" w:space="0"/>
            </w:tcBorders>
            <w:vAlign w:val="center"/>
          </w:tcPr>
          <w:p w14:paraId="7B317BA5">
            <w:pPr>
              <w:spacing w:line="360" w:lineRule="auto"/>
              <w:rPr>
                <w:color w:val="000000"/>
                <w:sz w:val="24"/>
                <w:szCs w:val="24"/>
              </w:rPr>
            </w:pPr>
            <w:r>
              <w:rPr>
                <w:rFonts w:hint="eastAsia"/>
                <w:color w:val="000000"/>
                <w:sz w:val="24"/>
                <w:szCs w:val="24"/>
              </w:rPr>
              <w:t>医保ICD字典库：提供医保ICD10、ICD9目录管理，包含版本的导入、导出、按编码和名称模糊检索以及新增、停用、修改等维护功能，支持多版本管理。</w:t>
            </w:r>
          </w:p>
        </w:tc>
      </w:tr>
      <w:tr w14:paraId="1319FE8C">
        <w:tblPrEx>
          <w:tblCellMar>
            <w:top w:w="0" w:type="dxa"/>
            <w:left w:w="108" w:type="dxa"/>
            <w:bottom w:w="0" w:type="dxa"/>
            <w:right w:w="108" w:type="dxa"/>
          </w:tblCellMar>
        </w:tblPrEx>
        <w:trPr>
          <w:trHeight w:val="627" w:hRule="atLeast"/>
        </w:trPr>
        <w:tc>
          <w:tcPr>
            <w:tcW w:w="361" w:type="pct"/>
            <w:tcBorders>
              <w:top w:val="nil"/>
              <w:left w:val="single" w:color="auto" w:sz="4" w:space="0"/>
              <w:bottom w:val="single" w:color="auto" w:sz="4" w:space="0"/>
              <w:right w:val="single" w:color="auto" w:sz="4" w:space="0"/>
            </w:tcBorders>
            <w:vAlign w:val="center"/>
          </w:tcPr>
          <w:p w14:paraId="144F7E7A">
            <w:pPr>
              <w:spacing w:line="360" w:lineRule="auto"/>
              <w:jc w:val="center"/>
              <w:rPr>
                <w:color w:val="000000"/>
                <w:sz w:val="24"/>
                <w:szCs w:val="24"/>
              </w:rPr>
            </w:pPr>
            <w:r>
              <w:rPr>
                <w:rFonts w:hint="eastAsia"/>
                <w:color w:val="000000"/>
                <w:sz w:val="24"/>
                <w:szCs w:val="24"/>
              </w:rPr>
              <w:t>24</w:t>
            </w:r>
          </w:p>
        </w:tc>
        <w:tc>
          <w:tcPr>
            <w:tcW w:w="652" w:type="pct"/>
            <w:tcBorders>
              <w:top w:val="nil"/>
              <w:left w:val="nil"/>
              <w:bottom w:val="single" w:color="auto" w:sz="4" w:space="0"/>
              <w:right w:val="single" w:color="auto" w:sz="4" w:space="0"/>
            </w:tcBorders>
            <w:noWrap/>
            <w:vAlign w:val="center"/>
          </w:tcPr>
          <w:p w14:paraId="0D1A8B67">
            <w:pPr>
              <w:spacing w:line="360" w:lineRule="auto"/>
              <w:jc w:val="center"/>
              <w:rPr>
                <w:color w:val="000000"/>
                <w:sz w:val="24"/>
                <w:szCs w:val="24"/>
              </w:rPr>
            </w:pPr>
            <w:r>
              <w:rPr>
                <w:rFonts w:hint="eastAsia"/>
                <w:color w:val="000000"/>
                <w:sz w:val="24"/>
                <w:szCs w:val="24"/>
              </w:rPr>
              <w:t>系统管理</w:t>
            </w:r>
          </w:p>
        </w:tc>
        <w:tc>
          <w:tcPr>
            <w:tcW w:w="1159" w:type="pct"/>
            <w:tcBorders>
              <w:top w:val="nil"/>
              <w:left w:val="nil"/>
              <w:bottom w:val="single" w:color="auto" w:sz="4" w:space="0"/>
              <w:right w:val="single" w:color="auto" w:sz="4" w:space="0"/>
            </w:tcBorders>
            <w:vAlign w:val="center"/>
          </w:tcPr>
          <w:p w14:paraId="097F4795">
            <w:pPr>
              <w:spacing w:line="360" w:lineRule="auto"/>
              <w:rPr>
                <w:color w:val="000000"/>
                <w:sz w:val="24"/>
                <w:szCs w:val="24"/>
              </w:rPr>
            </w:pPr>
            <w:r>
              <w:rPr>
                <w:rFonts w:hint="eastAsia"/>
                <w:color w:val="000000"/>
                <w:sz w:val="24"/>
                <w:szCs w:val="24"/>
              </w:rPr>
              <w:t>包含用户管理、科室管理、权限管理等</w:t>
            </w:r>
          </w:p>
        </w:tc>
        <w:tc>
          <w:tcPr>
            <w:tcW w:w="2826" w:type="pct"/>
            <w:tcBorders>
              <w:top w:val="nil"/>
              <w:left w:val="nil"/>
              <w:bottom w:val="single" w:color="auto" w:sz="4" w:space="0"/>
              <w:right w:val="single" w:color="auto" w:sz="4" w:space="0"/>
            </w:tcBorders>
            <w:vAlign w:val="center"/>
          </w:tcPr>
          <w:p w14:paraId="1548D887">
            <w:pPr>
              <w:spacing w:line="360" w:lineRule="auto"/>
              <w:rPr>
                <w:color w:val="000000"/>
                <w:sz w:val="24"/>
                <w:szCs w:val="24"/>
              </w:rPr>
            </w:pPr>
            <w:r>
              <w:rPr>
                <w:rFonts w:hint="eastAsia"/>
                <w:color w:val="000000"/>
                <w:sz w:val="24"/>
                <w:szCs w:val="24"/>
              </w:rPr>
              <w:t>包含用户管理、科室管理、权限管理</w:t>
            </w:r>
          </w:p>
        </w:tc>
      </w:tr>
      <w:tr w14:paraId="75A81A61">
        <w:tblPrEx>
          <w:tblCellMar>
            <w:top w:w="0" w:type="dxa"/>
            <w:left w:w="108" w:type="dxa"/>
            <w:bottom w:w="0" w:type="dxa"/>
            <w:right w:w="108" w:type="dxa"/>
          </w:tblCellMar>
        </w:tblPrEx>
        <w:trPr>
          <w:trHeight w:val="637" w:hRule="atLeast"/>
        </w:trPr>
        <w:tc>
          <w:tcPr>
            <w:tcW w:w="361" w:type="pct"/>
            <w:tcBorders>
              <w:top w:val="nil"/>
              <w:left w:val="single" w:color="auto" w:sz="4" w:space="0"/>
              <w:bottom w:val="single" w:color="auto" w:sz="4" w:space="0"/>
              <w:right w:val="single" w:color="auto" w:sz="4" w:space="0"/>
            </w:tcBorders>
            <w:vAlign w:val="center"/>
          </w:tcPr>
          <w:p w14:paraId="441300EA">
            <w:pPr>
              <w:spacing w:line="360" w:lineRule="auto"/>
              <w:jc w:val="center"/>
              <w:rPr>
                <w:color w:val="000000"/>
                <w:sz w:val="24"/>
                <w:szCs w:val="24"/>
              </w:rPr>
            </w:pPr>
            <w:r>
              <w:rPr>
                <w:rFonts w:hint="eastAsia"/>
                <w:color w:val="000000"/>
                <w:sz w:val="24"/>
                <w:szCs w:val="24"/>
              </w:rPr>
              <w:t>25</w:t>
            </w:r>
          </w:p>
        </w:tc>
        <w:tc>
          <w:tcPr>
            <w:tcW w:w="652" w:type="pct"/>
            <w:tcBorders>
              <w:top w:val="nil"/>
              <w:left w:val="nil"/>
              <w:bottom w:val="single" w:color="auto" w:sz="4" w:space="0"/>
              <w:right w:val="single" w:color="auto" w:sz="4" w:space="0"/>
            </w:tcBorders>
            <w:noWrap/>
            <w:vAlign w:val="center"/>
          </w:tcPr>
          <w:p w14:paraId="13F562DB">
            <w:pPr>
              <w:spacing w:line="360" w:lineRule="auto"/>
              <w:jc w:val="center"/>
              <w:rPr>
                <w:color w:val="000000"/>
                <w:sz w:val="24"/>
                <w:szCs w:val="24"/>
              </w:rPr>
            </w:pPr>
            <w:r>
              <w:rPr>
                <w:rFonts w:hint="eastAsia"/>
                <w:color w:val="000000"/>
                <w:sz w:val="24"/>
                <w:szCs w:val="24"/>
              </w:rPr>
              <w:t>系统接口</w:t>
            </w:r>
          </w:p>
        </w:tc>
        <w:tc>
          <w:tcPr>
            <w:tcW w:w="1159" w:type="pct"/>
            <w:tcBorders>
              <w:top w:val="nil"/>
              <w:left w:val="nil"/>
              <w:bottom w:val="single" w:color="auto" w:sz="4" w:space="0"/>
              <w:right w:val="single" w:color="auto" w:sz="4" w:space="0"/>
            </w:tcBorders>
            <w:vAlign w:val="center"/>
          </w:tcPr>
          <w:p w14:paraId="111F328E">
            <w:pPr>
              <w:spacing w:line="360" w:lineRule="auto"/>
              <w:rPr>
                <w:color w:val="000000"/>
                <w:sz w:val="24"/>
                <w:szCs w:val="24"/>
              </w:rPr>
            </w:pPr>
            <w:r>
              <w:rPr>
                <w:rFonts w:hint="eastAsia"/>
                <w:color w:val="000000"/>
                <w:sz w:val="24"/>
                <w:szCs w:val="24"/>
              </w:rPr>
              <w:t>系统接口</w:t>
            </w:r>
          </w:p>
        </w:tc>
        <w:tc>
          <w:tcPr>
            <w:tcW w:w="2826" w:type="pct"/>
            <w:tcBorders>
              <w:top w:val="nil"/>
              <w:left w:val="nil"/>
              <w:bottom w:val="single" w:color="auto" w:sz="4" w:space="0"/>
              <w:right w:val="single" w:color="auto" w:sz="4" w:space="0"/>
            </w:tcBorders>
            <w:vAlign w:val="center"/>
          </w:tcPr>
          <w:p w14:paraId="227520D6">
            <w:pPr>
              <w:spacing w:line="360" w:lineRule="auto"/>
              <w:rPr>
                <w:color w:val="000000"/>
                <w:sz w:val="24"/>
                <w:szCs w:val="24"/>
              </w:rPr>
            </w:pPr>
            <w:r>
              <w:rPr>
                <w:rFonts w:hint="eastAsia"/>
                <w:color w:val="000000"/>
                <w:sz w:val="24"/>
                <w:szCs w:val="24"/>
              </w:rPr>
              <w:t>本项目需与院内HIS、电子病历等系统集成</w:t>
            </w:r>
          </w:p>
        </w:tc>
      </w:tr>
    </w:tbl>
    <w:p w14:paraId="51F72F4B">
      <w:pPr>
        <w:pStyle w:val="284"/>
        <w:numPr>
          <w:ilvl w:val="0"/>
          <w:numId w:val="10"/>
        </w:numPr>
        <w:spacing w:line="360" w:lineRule="auto"/>
        <w:ind w:firstLine="0"/>
        <w:rPr>
          <w:rFonts w:ascii="宋体" w:hAnsi="宋体" w:eastAsia="宋体"/>
          <w:b/>
          <w:bCs/>
          <w:sz w:val="24"/>
          <w:szCs w:val="24"/>
        </w:rPr>
      </w:pPr>
      <w:r>
        <w:rPr>
          <w:rFonts w:hint="eastAsia" w:ascii="宋体" w:hAnsi="宋体" w:eastAsia="宋体"/>
          <w:b/>
          <w:bCs/>
          <w:sz w:val="24"/>
          <w:szCs w:val="24"/>
        </w:rPr>
        <w:t>医保智能监控系统</w:t>
      </w:r>
    </w:p>
    <w:tbl>
      <w:tblPr>
        <w:tblStyle w:val="37"/>
        <w:tblW w:w="5714" w:type="pct"/>
        <w:tblInd w:w="-518" w:type="dxa"/>
        <w:tblLayout w:type="fixed"/>
        <w:tblCellMar>
          <w:top w:w="0" w:type="dxa"/>
          <w:left w:w="108" w:type="dxa"/>
          <w:bottom w:w="0" w:type="dxa"/>
          <w:right w:w="108" w:type="dxa"/>
        </w:tblCellMar>
      </w:tblPr>
      <w:tblGrid>
        <w:gridCol w:w="704"/>
        <w:gridCol w:w="1271"/>
        <w:gridCol w:w="3175"/>
        <w:gridCol w:w="4589"/>
      </w:tblGrid>
      <w:tr w14:paraId="0C706640">
        <w:tblPrEx>
          <w:tblCellMar>
            <w:top w:w="0" w:type="dxa"/>
            <w:left w:w="108" w:type="dxa"/>
            <w:bottom w:w="0" w:type="dxa"/>
            <w:right w:w="108" w:type="dxa"/>
          </w:tblCellMar>
        </w:tblPrEx>
        <w:trPr>
          <w:trHeight w:val="319" w:hRule="atLeast"/>
        </w:trPr>
        <w:tc>
          <w:tcPr>
            <w:tcW w:w="361" w:type="pct"/>
            <w:tcBorders>
              <w:top w:val="single" w:color="auto" w:sz="4" w:space="0"/>
              <w:left w:val="single" w:color="auto" w:sz="4" w:space="0"/>
              <w:bottom w:val="single" w:color="auto" w:sz="4" w:space="0"/>
              <w:right w:val="single" w:color="auto" w:sz="4" w:space="0"/>
            </w:tcBorders>
            <w:vAlign w:val="center"/>
          </w:tcPr>
          <w:p w14:paraId="0C802590">
            <w:pPr>
              <w:spacing w:line="360" w:lineRule="auto"/>
              <w:jc w:val="center"/>
              <w:rPr>
                <w:b/>
                <w:bCs/>
                <w:color w:val="000000"/>
                <w:sz w:val="24"/>
                <w:szCs w:val="24"/>
              </w:rPr>
            </w:pPr>
            <w:r>
              <w:rPr>
                <w:rFonts w:hint="eastAsia"/>
                <w:b/>
                <w:bCs/>
                <w:color w:val="000000"/>
                <w:sz w:val="24"/>
                <w:szCs w:val="24"/>
              </w:rPr>
              <w:t>序号</w:t>
            </w:r>
          </w:p>
        </w:tc>
        <w:tc>
          <w:tcPr>
            <w:tcW w:w="652" w:type="pct"/>
            <w:tcBorders>
              <w:top w:val="single" w:color="auto" w:sz="4" w:space="0"/>
              <w:left w:val="nil"/>
              <w:bottom w:val="single" w:color="auto" w:sz="4" w:space="0"/>
              <w:right w:val="single" w:color="auto" w:sz="4" w:space="0"/>
            </w:tcBorders>
            <w:vAlign w:val="center"/>
          </w:tcPr>
          <w:p w14:paraId="39FBC7C8">
            <w:pPr>
              <w:spacing w:line="360" w:lineRule="auto"/>
              <w:jc w:val="center"/>
              <w:rPr>
                <w:b/>
                <w:bCs/>
                <w:color w:val="000000"/>
                <w:sz w:val="24"/>
                <w:szCs w:val="24"/>
              </w:rPr>
            </w:pPr>
            <w:r>
              <w:rPr>
                <w:rFonts w:hint="eastAsia"/>
                <w:b/>
                <w:bCs/>
                <w:color w:val="000000"/>
                <w:sz w:val="24"/>
                <w:szCs w:val="24"/>
              </w:rPr>
              <w:t>功能模块</w:t>
            </w:r>
          </w:p>
        </w:tc>
        <w:tc>
          <w:tcPr>
            <w:tcW w:w="1629" w:type="pct"/>
            <w:tcBorders>
              <w:top w:val="single" w:color="auto" w:sz="4" w:space="0"/>
              <w:left w:val="nil"/>
              <w:bottom w:val="single" w:color="auto" w:sz="4" w:space="0"/>
              <w:right w:val="single" w:color="auto" w:sz="4" w:space="0"/>
            </w:tcBorders>
            <w:vAlign w:val="center"/>
          </w:tcPr>
          <w:p w14:paraId="3AC4F2D2">
            <w:pPr>
              <w:spacing w:line="360" w:lineRule="auto"/>
              <w:jc w:val="center"/>
              <w:rPr>
                <w:b/>
                <w:bCs/>
                <w:color w:val="000000"/>
                <w:sz w:val="24"/>
                <w:szCs w:val="24"/>
              </w:rPr>
            </w:pPr>
            <w:r>
              <w:rPr>
                <w:rFonts w:hint="eastAsia"/>
                <w:b/>
                <w:bCs/>
                <w:color w:val="000000"/>
                <w:sz w:val="24"/>
                <w:szCs w:val="24"/>
              </w:rPr>
              <w:t>功能要求</w:t>
            </w:r>
          </w:p>
        </w:tc>
        <w:tc>
          <w:tcPr>
            <w:tcW w:w="2355" w:type="pct"/>
            <w:tcBorders>
              <w:top w:val="single" w:color="auto" w:sz="4" w:space="0"/>
              <w:left w:val="nil"/>
              <w:bottom w:val="single" w:color="auto" w:sz="4" w:space="0"/>
              <w:right w:val="single" w:color="auto" w:sz="4" w:space="0"/>
            </w:tcBorders>
            <w:vAlign w:val="center"/>
          </w:tcPr>
          <w:p w14:paraId="780C1AF5">
            <w:pPr>
              <w:spacing w:line="360" w:lineRule="auto"/>
              <w:jc w:val="center"/>
              <w:rPr>
                <w:b/>
                <w:bCs/>
                <w:color w:val="000000"/>
                <w:sz w:val="24"/>
                <w:szCs w:val="24"/>
              </w:rPr>
            </w:pPr>
            <w:r>
              <w:rPr>
                <w:rFonts w:hint="eastAsia"/>
                <w:b/>
                <w:bCs/>
                <w:color w:val="000000"/>
                <w:sz w:val="24"/>
                <w:szCs w:val="24"/>
              </w:rPr>
              <w:t>功能要求说明</w:t>
            </w:r>
          </w:p>
        </w:tc>
      </w:tr>
      <w:tr w14:paraId="3E6381BA">
        <w:tblPrEx>
          <w:tblCellMar>
            <w:top w:w="0" w:type="dxa"/>
            <w:left w:w="108" w:type="dxa"/>
            <w:bottom w:w="0" w:type="dxa"/>
            <w:right w:w="108" w:type="dxa"/>
          </w:tblCellMar>
        </w:tblPrEx>
        <w:trPr>
          <w:trHeight w:val="1861" w:hRule="atLeast"/>
        </w:trPr>
        <w:tc>
          <w:tcPr>
            <w:tcW w:w="361" w:type="pct"/>
            <w:tcBorders>
              <w:top w:val="nil"/>
              <w:left w:val="single" w:color="auto" w:sz="4" w:space="0"/>
              <w:bottom w:val="single" w:color="auto" w:sz="4" w:space="0"/>
              <w:right w:val="single" w:color="auto" w:sz="4" w:space="0"/>
            </w:tcBorders>
            <w:vAlign w:val="center"/>
          </w:tcPr>
          <w:p w14:paraId="36E9B205">
            <w:pPr>
              <w:spacing w:line="360" w:lineRule="auto"/>
              <w:jc w:val="center"/>
              <w:rPr>
                <w:color w:val="000000"/>
                <w:sz w:val="24"/>
                <w:szCs w:val="24"/>
              </w:rPr>
            </w:pPr>
            <w:r>
              <w:rPr>
                <w:rFonts w:hint="eastAsia"/>
                <w:color w:val="000000"/>
                <w:sz w:val="24"/>
                <w:szCs w:val="24"/>
              </w:rPr>
              <w:t>1</w:t>
            </w:r>
          </w:p>
        </w:tc>
        <w:tc>
          <w:tcPr>
            <w:tcW w:w="652" w:type="pct"/>
            <w:tcBorders>
              <w:top w:val="nil"/>
              <w:left w:val="nil"/>
              <w:bottom w:val="single" w:color="auto" w:sz="4" w:space="0"/>
              <w:right w:val="single" w:color="auto" w:sz="4" w:space="0"/>
            </w:tcBorders>
            <w:vAlign w:val="center"/>
          </w:tcPr>
          <w:p w14:paraId="140641A5">
            <w:pPr>
              <w:spacing w:line="360" w:lineRule="auto"/>
              <w:jc w:val="center"/>
              <w:rPr>
                <w:color w:val="000000"/>
                <w:sz w:val="24"/>
                <w:szCs w:val="24"/>
              </w:rPr>
            </w:pPr>
            <w:r>
              <w:rPr>
                <w:rFonts w:hint="eastAsia"/>
                <w:color w:val="000000"/>
                <w:sz w:val="24"/>
                <w:szCs w:val="24"/>
              </w:rPr>
              <w:t>医保审核知识库管理</w:t>
            </w:r>
          </w:p>
        </w:tc>
        <w:tc>
          <w:tcPr>
            <w:tcW w:w="1629" w:type="pct"/>
            <w:tcBorders>
              <w:top w:val="nil"/>
              <w:left w:val="nil"/>
              <w:bottom w:val="single" w:color="auto" w:sz="4" w:space="0"/>
              <w:right w:val="single" w:color="auto" w:sz="4" w:space="0"/>
            </w:tcBorders>
            <w:vAlign w:val="center"/>
          </w:tcPr>
          <w:p w14:paraId="391134A0">
            <w:pPr>
              <w:spacing w:line="360" w:lineRule="auto"/>
              <w:rPr>
                <w:color w:val="000000"/>
                <w:sz w:val="24"/>
                <w:szCs w:val="24"/>
              </w:rPr>
            </w:pPr>
            <w:r>
              <w:rPr>
                <w:rFonts w:hint="eastAsia"/>
                <w:color w:val="000000"/>
                <w:sz w:val="24"/>
                <w:szCs w:val="24"/>
              </w:rPr>
              <w:t>支持审核规则知识库建立、修改、查询、维护等功能。支持医保目录库的查询检索等</w:t>
            </w:r>
          </w:p>
        </w:tc>
        <w:tc>
          <w:tcPr>
            <w:tcW w:w="2355" w:type="pct"/>
            <w:tcBorders>
              <w:top w:val="nil"/>
              <w:left w:val="nil"/>
              <w:bottom w:val="single" w:color="auto" w:sz="4" w:space="0"/>
              <w:right w:val="single" w:color="auto" w:sz="4" w:space="0"/>
            </w:tcBorders>
            <w:vAlign w:val="center"/>
          </w:tcPr>
          <w:p w14:paraId="7E2B7754">
            <w:pPr>
              <w:spacing w:line="360" w:lineRule="auto"/>
              <w:rPr>
                <w:color w:val="000000"/>
                <w:sz w:val="24"/>
                <w:szCs w:val="24"/>
              </w:rPr>
            </w:pPr>
            <w:r>
              <w:rPr>
                <w:rFonts w:hint="eastAsia"/>
                <w:color w:val="000000"/>
                <w:sz w:val="24"/>
                <w:szCs w:val="24"/>
              </w:rPr>
              <w:t>1.提供医保三目录的导入及对照管理</w:t>
            </w:r>
          </w:p>
          <w:p w14:paraId="0508611A">
            <w:pPr>
              <w:spacing w:line="360" w:lineRule="auto"/>
              <w:rPr>
                <w:color w:val="000000"/>
                <w:sz w:val="24"/>
                <w:szCs w:val="24"/>
              </w:rPr>
            </w:pPr>
            <w:r>
              <w:rPr>
                <w:rFonts w:hint="eastAsia"/>
                <w:color w:val="000000"/>
                <w:sz w:val="24"/>
                <w:szCs w:val="24"/>
              </w:rPr>
              <w:t>2.知识库根据国家两库及省市医疗保障平台反馈违规审核类型进行按规则和按项目分类维护。医院可根据本院或本地区个性化规则进行增、删、改操作。</w:t>
            </w:r>
          </w:p>
          <w:p w14:paraId="4A532A86">
            <w:pPr>
              <w:spacing w:line="360" w:lineRule="auto"/>
              <w:rPr>
                <w:color w:val="000000"/>
                <w:sz w:val="24"/>
                <w:szCs w:val="24"/>
              </w:rPr>
            </w:pPr>
            <w:r>
              <w:rPr>
                <w:rFonts w:hint="eastAsia"/>
                <w:color w:val="000000"/>
                <w:sz w:val="24"/>
                <w:szCs w:val="24"/>
              </w:rPr>
              <w:t>3.支持规则大类的开关，规则明细的单个开关和批量开关</w:t>
            </w:r>
          </w:p>
        </w:tc>
      </w:tr>
      <w:tr w14:paraId="42559AF7">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42D39817">
            <w:pPr>
              <w:spacing w:line="360" w:lineRule="auto"/>
              <w:jc w:val="center"/>
              <w:rPr>
                <w:color w:val="000000"/>
                <w:sz w:val="24"/>
                <w:szCs w:val="24"/>
              </w:rPr>
            </w:pPr>
            <w:r>
              <w:rPr>
                <w:rFonts w:hint="eastAsia"/>
                <w:color w:val="000000"/>
                <w:sz w:val="24"/>
                <w:szCs w:val="24"/>
              </w:rPr>
              <w:t>2</w:t>
            </w:r>
          </w:p>
        </w:tc>
        <w:tc>
          <w:tcPr>
            <w:tcW w:w="652" w:type="pct"/>
            <w:tcBorders>
              <w:top w:val="nil"/>
              <w:left w:val="single" w:color="auto" w:sz="4" w:space="0"/>
              <w:bottom w:val="single" w:color="auto" w:sz="4" w:space="0"/>
              <w:right w:val="single" w:color="auto" w:sz="4" w:space="0"/>
            </w:tcBorders>
            <w:vAlign w:val="center"/>
          </w:tcPr>
          <w:p w14:paraId="7D03BD21">
            <w:pPr>
              <w:spacing w:line="360" w:lineRule="auto"/>
              <w:jc w:val="center"/>
              <w:rPr>
                <w:color w:val="000000"/>
                <w:sz w:val="24"/>
                <w:szCs w:val="24"/>
              </w:rPr>
            </w:pPr>
            <w:r>
              <w:rPr>
                <w:rFonts w:hint="eastAsia"/>
                <w:color w:val="000000"/>
                <w:sz w:val="24"/>
                <w:szCs w:val="24"/>
              </w:rPr>
              <w:t>住院事前实时审核</w:t>
            </w:r>
          </w:p>
        </w:tc>
        <w:tc>
          <w:tcPr>
            <w:tcW w:w="1629" w:type="pct"/>
            <w:tcBorders>
              <w:top w:val="nil"/>
              <w:left w:val="single" w:color="auto" w:sz="4" w:space="0"/>
              <w:bottom w:val="single" w:color="auto" w:sz="4" w:space="0"/>
              <w:right w:val="single" w:color="auto" w:sz="4" w:space="0"/>
            </w:tcBorders>
            <w:vAlign w:val="center"/>
          </w:tcPr>
          <w:p w14:paraId="750BED22">
            <w:pPr>
              <w:spacing w:line="360" w:lineRule="auto"/>
              <w:rPr>
                <w:color w:val="000000"/>
                <w:sz w:val="24"/>
                <w:szCs w:val="24"/>
              </w:rPr>
            </w:pPr>
            <w:r>
              <w:rPr>
                <w:rFonts w:hint="eastAsia"/>
                <w:color w:val="000000"/>
                <w:sz w:val="24"/>
                <w:szCs w:val="24"/>
              </w:rPr>
              <w:t>通过与HIS、EMR集成，实时预警医生开立的住院医嘱审核医保违规，实现对医疗收费行为的实时监控</w:t>
            </w:r>
          </w:p>
        </w:tc>
        <w:tc>
          <w:tcPr>
            <w:tcW w:w="2355" w:type="pct"/>
            <w:tcBorders>
              <w:top w:val="nil"/>
              <w:left w:val="nil"/>
              <w:bottom w:val="single" w:color="auto" w:sz="4" w:space="0"/>
              <w:right w:val="single" w:color="auto" w:sz="4" w:space="0"/>
            </w:tcBorders>
            <w:vAlign w:val="center"/>
          </w:tcPr>
          <w:p w14:paraId="700895F0">
            <w:pPr>
              <w:spacing w:line="360" w:lineRule="auto"/>
              <w:rPr>
                <w:color w:val="000000"/>
                <w:sz w:val="24"/>
                <w:szCs w:val="24"/>
              </w:rPr>
            </w:pPr>
            <w:r>
              <w:rPr>
                <w:rFonts w:hint="eastAsia"/>
                <w:color w:val="000000"/>
                <w:sz w:val="24"/>
                <w:szCs w:val="24"/>
              </w:rPr>
              <w:t>住院医嘱接口可在医师保存医嘱时，通过大数据规则审核医嘱是否存在违反医保合理性、合规性的行为，并在HIS端展示审核返回违规行为的具体内容，包括违规预警条数、规则名称、违规原因、违规项目、预警级别等信息</w:t>
            </w:r>
          </w:p>
        </w:tc>
      </w:tr>
      <w:tr w14:paraId="2C626AAB">
        <w:tblPrEx>
          <w:tblCellMar>
            <w:top w:w="0" w:type="dxa"/>
            <w:left w:w="108" w:type="dxa"/>
            <w:bottom w:w="0" w:type="dxa"/>
            <w:right w:w="108" w:type="dxa"/>
          </w:tblCellMar>
        </w:tblPrEx>
        <w:trPr>
          <w:trHeight w:val="1244" w:hRule="atLeast"/>
        </w:trPr>
        <w:tc>
          <w:tcPr>
            <w:tcW w:w="361" w:type="pct"/>
            <w:tcBorders>
              <w:top w:val="nil"/>
              <w:left w:val="single" w:color="auto" w:sz="4" w:space="0"/>
              <w:bottom w:val="single" w:color="auto" w:sz="4" w:space="0"/>
              <w:right w:val="single" w:color="auto" w:sz="4" w:space="0"/>
            </w:tcBorders>
            <w:vAlign w:val="center"/>
          </w:tcPr>
          <w:p w14:paraId="4BBC846D">
            <w:pPr>
              <w:spacing w:line="360" w:lineRule="auto"/>
              <w:jc w:val="center"/>
              <w:rPr>
                <w:color w:val="000000"/>
                <w:sz w:val="24"/>
                <w:szCs w:val="24"/>
              </w:rPr>
            </w:pPr>
            <w:r>
              <w:rPr>
                <w:rFonts w:hint="eastAsia"/>
                <w:color w:val="000000"/>
                <w:sz w:val="24"/>
                <w:szCs w:val="24"/>
              </w:rPr>
              <w:t>3</w:t>
            </w:r>
          </w:p>
        </w:tc>
        <w:tc>
          <w:tcPr>
            <w:tcW w:w="652" w:type="pct"/>
            <w:tcBorders>
              <w:top w:val="nil"/>
              <w:left w:val="single" w:color="auto" w:sz="4" w:space="0"/>
              <w:bottom w:val="single" w:color="auto" w:sz="4" w:space="0"/>
              <w:right w:val="single" w:color="auto" w:sz="4" w:space="0"/>
            </w:tcBorders>
            <w:vAlign w:val="center"/>
          </w:tcPr>
          <w:p w14:paraId="56C973E0">
            <w:pPr>
              <w:spacing w:line="360" w:lineRule="auto"/>
              <w:jc w:val="center"/>
              <w:rPr>
                <w:color w:val="000000"/>
                <w:sz w:val="24"/>
                <w:szCs w:val="24"/>
              </w:rPr>
            </w:pPr>
            <w:r>
              <w:rPr>
                <w:rFonts w:hint="eastAsia"/>
                <w:color w:val="000000"/>
                <w:sz w:val="24"/>
                <w:szCs w:val="24"/>
              </w:rPr>
              <w:t>住院事中审核</w:t>
            </w:r>
          </w:p>
        </w:tc>
        <w:tc>
          <w:tcPr>
            <w:tcW w:w="1629" w:type="pct"/>
            <w:tcBorders>
              <w:top w:val="nil"/>
              <w:left w:val="single" w:color="auto" w:sz="4" w:space="0"/>
              <w:bottom w:val="single" w:color="auto" w:sz="4" w:space="0"/>
              <w:right w:val="single" w:color="auto" w:sz="4" w:space="0"/>
            </w:tcBorders>
            <w:vAlign w:val="center"/>
          </w:tcPr>
          <w:p w14:paraId="24668F8D">
            <w:pPr>
              <w:spacing w:line="360" w:lineRule="auto"/>
              <w:rPr>
                <w:color w:val="000000"/>
                <w:sz w:val="24"/>
                <w:szCs w:val="24"/>
              </w:rPr>
            </w:pPr>
            <w:r>
              <w:rPr>
                <w:rFonts w:hint="eastAsia"/>
                <w:color w:val="000000"/>
                <w:sz w:val="24"/>
                <w:szCs w:val="24"/>
              </w:rPr>
              <w:t>定时增量同步患者前一日的医嘱明细、费用明细等数据，并在住院期间每日对患者的单次就诊进行审核监控，监控内容基于医师开具的住院单据。提供在院患者疑似违规预警记录功能，对提醒临床的疑似违规行为进行记录。</w:t>
            </w:r>
          </w:p>
        </w:tc>
        <w:tc>
          <w:tcPr>
            <w:tcW w:w="2355" w:type="pct"/>
            <w:tcBorders>
              <w:top w:val="nil"/>
              <w:left w:val="nil"/>
              <w:bottom w:val="single" w:color="auto" w:sz="4" w:space="0"/>
              <w:right w:val="single" w:color="auto" w:sz="4" w:space="0"/>
            </w:tcBorders>
            <w:vAlign w:val="center"/>
          </w:tcPr>
          <w:p w14:paraId="287FC5DA">
            <w:pPr>
              <w:spacing w:line="360" w:lineRule="auto"/>
              <w:rPr>
                <w:color w:val="000000"/>
                <w:sz w:val="24"/>
                <w:szCs w:val="24"/>
              </w:rPr>
            </w:pPr>
            <w:r>
              <w:rPr>
                <w:rFonts w:hint="eastAsia"/>
                <w:color w:val="000000"/>
                <w:sz w:val="24"/>
                <w:szCs w:val="24"/>
              </w:rPr>
              <w:t>在住院期间每日对患者的单次就诊进行审核监控，监控内容基于医师开具的住院单据。提供在院患者疑似违规预警记录功能，对提醒临床的疑似违规行为进行记录.</w:t>
            </w:r>
          </w:p>
        </w:tc>
      </w:tr>
      <w:tr w14:paraId="60CAEBAB">
        <w:tblPrEx>
          <w:tblCellMar>
            <w:top w:w="0" w:type="dxa"/>
            <w:left w:w="108" w:type="dxa"/>
            <w:bottom w:w="0" w:type="dxa"/>
            <w:right w:w="108" w:type="dxa"/>
          </w:tblCellMar>
        </w:tblPrEx>
        <w:trPr>
          <w:trHeight w:val="936" w:hRule="atLeast"/>
        </w:trPr>
        <w:tc>
          <w:tcPr>
            <w:tcW w:w="361" w:type="pct"/>
            <w:tcBorders>
              <w:top w:val="nil"/>
              <w:left w:val="single" w:color="auto" w:sz="4" w:space="0"/>
              <w:bottom w:val="single" w:color="auto" w:sz="4" w:space="0"/>
              <w:right w:val="single" w:color="auto" w:sz="4" w:space="0"/>
            </w:tcBorders>
            <w:vAlign w:val="center"/>
          </w:tcPr>
          <w:p w14:paraId="67DF31E2">
            <w:pPr>
              <w:spacing w:line="360" w:lineRule="auto"/>
              <w:jc w:val="center"/>
              <w:rPr>
                <w:color w:val="000000"/>
                <w:sz w:val="24"/>
                <w:szCs w:val="24"/>
              </w:rPr>
            </w:pPr>
            <w:r>
              <w:rPr>
                <w:rFonts w:hint="eastAsia"/>
                <w:color w:val="000000"/>
                <w:sz w:val="24"/>
                <w:szCs w:val="24"/>
              </w:rPr>
              <w:t>4</w:t>
            </w:r>
          </w:p>
        </w:tc>
        <w:tc>
          <w:tcPr>
            <w:tcW w:w="652" w:type="pct"/>
            <w:tcBorders>
              <w:top w:val="nil"/>
              <w:left w:val="single" w:color="auto" w:sz="4" w:space="0"/>
              <w:bottom w:val="single" w:color="auto" w:sz="4" w:space="0"/>
              <w:right w:val="single" w:color="auto" w:sz="4" w:space="0"/>
            </w:tcBorders>
            <w:noWrap/>
            <w:vAlign w:val="center"/>
          </w:tcPr>
          <w:p w14:paraId="5D33028C">
            <w:pPr>
              <w:spacing w:line="360" w:lineRule="auto"/>
              <w:jc w:val="center"/>
              <w:rPr>
                <w:color w:val="000000"/>
                <w:sz w:val="24"/>
                <w:szCs w:val="24"/>
              </w:rPr>
            </w:pPr>
            <w:r>
              <w:rPr>
                <w:rFonts w:hint="eastAsia"/>
                <w:color w:val="000000"/>
                <w:sz w:val="24"/>
                <w:szCs w:val="24"/>
              </w:rPr>
              <w:t>出院实时审核</w:t>
            </w:r>
          </w:p>
        </w:tc>
        <w:tc>
          <w:tcPr>
            <w:tcW w:w="1629" w:type="pct"/>
            <w:tcBorders>
              <w:top w:val="nil"/>
              <w:left w:val="single" w:color="auto" w:sz="4" w:space="0"/>
              <w:bottom w:val="single" w:color="auto" w:sz="4" w:space="0"/>
              <w:right w:val="single" w:color="auto" w:sz="4" w:space="0"/>
            </w:tcBorders>
            <w:vAlign w:val="center"/>
          </w:tcPr>
          <w:p w14:paraId="7CE606C4">
            <w:pPr>
              <w:spacing w:line="360" w:lineRule="auto"/>
              <w:rPr>
                <w:color w:val="000000"/>
                <w:sz w:val="24"/>
                <w:szCs w:val="24"/>
              </w:rPr>
            </w:pPr>
            <w:r>
              <w:rPr>
                <w:rFonts w:hint="eastAsia"/>
                <w:color w:val="000000"/>
                <w:sz w:val="24"/>
                <w:szCs w:val="24"/>
              </w:rPr>
              <w:t>预出院环节的审核前置功能，支持一次性对所有离院前的诊疗服务数据进行监控审核。</w:t>
            </w:r>
          </w:p>
        </w:tc>
        <w:tc>
          <w:tcPr>
            <w:tcW w:w="2355" w:type="pct"/>
            <w:tcBorders>
              <w:top w:val="nil"/>
              <w:left w:val="nil"/>
              <w:bottom w:val="single" w:color="auto" w:sz="4" w:space="0"/>
              <w:right w:val="single" w:color="auto" w:sz="4" w:space="0"/>
            </w:tcBorders>
            <w:vAlign w:val="center"/>
          </w:tcPr>
          <w:p w14:paraId="48E2D3FB">
            <w:pPr>
              <w:spacing w:line="360" w:lineRule="auto"/>
              <w:rPr>
                <w:color w:val="000000"/>
                <w:sz w:val="24"/>
                <w:szCs w:val="24"/>
              </w:rPr>
            </w:pPr>
            <w:r>
              <w:rPr>
                <w:rFonts w:hint="eastAsia"/>
                <w:color w:val="000000"/>
                <w:sz w:val="24"/>
                <w:szCs w:val="24"/>
              </w:rPr>
              <w:t>预出院实时提醒接口用于护士为患者在办理预出院时，通过大数据规则审核所有医嘱及费用是否存在违反医保合理性、合规性的行为，并在HIS端展示审核返回违规行为的具体内容</w:t>
            </w:r>
          </w:p>
        </w:tc>
      </w:tr>
      <w:tr w14:paraId="3940A25E">
        <w:tblPrEx>
          <w:tblCellMar>
            <w:top w:w="0" w:type="dxa"/>
            <w:left w:w="108" w:type="dxa"/>
            <w:bottom w:w="0" w:type="dxa"/>
            <w:right w:w="108" w:type="dxa"/>
          </w:tblCellMar>
        </w:tblPrEx>
        <w:trPr>
          <w:trHeight w:val="1244" w:hRule="atLeast"/>
        </w:trPr>
        <w:tc>
          <w:tcPr>
            <w:tcW w:w="361" w:type="pct"/>
            <w:tcBorders>
              <w:top w:val="nil"/>
              <w:left w:val="single" w:color="auto" w:sz="4" w:space="0"/>
              <w:bottom w:val="single" w:color="auto" w:sz="4" w:space="0"/>
              <w:right w:val="single" w:color="auto" w:sz="4" w:space="0"/>
            </w:tcBorders>
            <w:vAlign w:val="center"/>
          </w:tcPr>
          <w:p w14:paraId="759FFD7A">
            <w:pPr>
              <w:spacing w:line="360" w:lineRule="auto"/>
              <w:jc w:val="center"/>
              <w:rPr>
                <w:color w:val="000000"/>
                <w:sz w:val="24"/>
                <w:szCs w:val="24"/>
              </w:rPr>
            </w:pPr>
            <w:r>
              <w:rPr>
                <w:rFonts w:hint="eastAsia"/>
                <w:color w:val="000000"/>
                <w:sz w:val="24"/>
                <w:szCs w:val="24"/>
              </w:rPr>
              <w:t>5</w:t>
            </w:r>
          </w:p>
        </w:tc>
        <w:tc>
          <w:tcPr>
            <w:tcW w:w="652" w:type="pct"/>
            <w:tcBorders>
              <w:top w:val="nil"/>
              <w:left w:val="single" w:color="auto" w:sz="4" w:space="0"/>
              <w:bottom w:val="single" w:color="auto" w:sz="4" w:space="0"/>
              <w:right w:val="single" w:color="auto" w:sz="4" w:space="0"/>
            </w:tcBorders>
            <w:noWrap/>
            <w:vAlign w:val="center"/>
          </w:tcPr>
          <w:p w14:paraId="2B735A5A">
            <w:pPr>
              <w:spacing w:line="360" w:lineRule="auto"/>
              <w:jc w:val="center"/>
              <w:rPr>
                <w:color w:val="000000"/>
                <w:sz w:val="24"/>
                <w:szCs w:val="24"/>
              </w:rPr>
            </w:pPr>
            <w:r>
              <w:rPr>
                <w:rFonts w:hint="eastAsia"/>
                <w:color w:val="000000"/>
                <w:sz w:val="24"/>
                <w:szCs w:val="24"/>
              </w:rPr>
              <w:t>住院事后审核</w:t>
            </w:r>
          </w:p>
        </w:tc>
        <w:tc>
          <w:tcPr>
            <w:tcW w:w="1629" w:type="pct"/>
            <w:tcBorders>
              <w:top w:val="nil"/>
              <w:left w:val="single" w:color="auto" w:sz="4" w:space="0"/>
              <w:bottom w:val="single" w:color="auto" w:sz="4" w:space="0"/>
              <w:right w:val="single" w:color="auto" w:sz="4" w:space="0"/>
            </w:tcBorders>
            <w:vAlign w:val="center"/>
          </w:tcPr>
          <w:p w14:paraId="1F60B2FE">
            <w:pPr>
              <w:spacing w:line="360" w:lineRule="auto"/>
              <w:rPr>
                <w:color w:val="000000"/>
                <w:sz w:val="24"/>
                <w:szCs w:val="24"/>
              </w:rPr>
            </w:pPr>
            <w:r>
              <w:rPr>
                <w:rFonts w:hint="eastAsia"/>
                <w:color w:val="000000"/>
                <w:sz w:val="24"/>
                <w:szCs w:val="24"/>
              </w:rPr>
              <w:t>查询出院患者的历史违规结果及费用明细、在院详情等，支持不同维度的住院违规统计分析</w:t>
            </w:r>
          </w:p>
        </w:tc>
        <w:tc>
          <w:tcPr>
            <w:tcW w:w="2355" w:type="pct"/>
            <w:tcBorders>
              <w:top w:val="nil"/>
              <w:left w:val="nil"/>
              <w:bottom w:val="single" w:color="auto" w:sz="4" w:space="0"/>
              <w:right w:val="single" w:color="auto" w:sz="4" w:space="0"/>
            </w:tcBorders>
            <w:vAlign w:val="center"/>
          </w:tcPr>
          <w:p w14:paraId="790C9541">
            <w:pPr>
              <w:spacing w:line="360" w:lineRule="auto"/>
              <w:rPr>
                <w:color w:val="000000"/>
                <w:sz w:val="24"/>
                <w:szCs w:val="24"/>
              </w:rPr>
            </w:pPr>
            <w:r>
              <w:rPr>
                <w:rFonts w:hint="eastAsia"/>
                <w:color w:val="000000"/>
                <w:sz w:val="24"/>
                <w:szCs w:val="24"/>
              </w:rPr>
              <w:t>分析所有已就诊出院患者发生费用的违规统计，按照科室、医生、费用项目分类等不同维度进行分析。</w:t>
            </w:r>
          </w:p>
        </w:tc>
      </w:tr>
      <w:tr w14:paraId="481FAEBD">
        <w:trPr>
          <w:trHeight w:val="319" w:hRule="atLeast"/>
        </w:trPr>
        <w:tc>
          <w:tcPr>
            <w:tcW w:w="361" w:type="pct"/>
            <w:tcBorders>
              <w:top w:val="nil"/>
              <w:left w:val="single" w:color="auto" w:sz="4" w:space="0"/>
              <w:bottom w:val="single" w:color="auto" w:sz="4" w:space="0"/>
              <w:right w:val="single" w:color="auto" w:sz="4" w:space="0"/>
            </w:tcBorders>
            <w:vAlign w:val="center"/>
          </w:tcPr>
          <w:p w14:paraId="1A0618F5">
            <w:pPr>
              <w:spacing w:line="360" w:lineRule="auto"/>
              <w:jc w:val="center"/>
              <w:rPr>
                <w:color w:val="000000"/>
                <w:sz w:val="24"/>
                <w:szCs w:val="24"/>
              </w:rPr>
            </w:pPr>
            <w:r>
              <w:rPr>
                <w:rFonts w:hint="eastAsia"/>
                <w:color w:val="000000"/>
                <w:sz w:val="24"/>
                <w:szCs w:val="24"/>
              </w:rPr>
              <w:t>6</w:t>
            </w:r>
          </w:p>
        </w:tc>
        <w:tc>
          <w:tcPr>
            <w:tcW w:w="652" w:type="pct"/>
            <w:tcBorders>
              <w:top w:val="nil"/>
              <w:left w:val="single" w:color="auto" w:sz="4" w:space="0"/>
              <w:bottom w:val="single" w:color="auto" w:sz="4" w:space="0"/>
              <w:right w:val="single" w:color="auto" w:sz="4" w:space="0"/>
            </w:tcBorders>
            <w:noWrap/>
            <w:vAlign w:val="center"/>
          </w:tcPr>
          <w:p w14:paraId="00936375">
            <w:pPr>
              <w:spacing w:line="360" w:lineRule="auto"/>
              <w:jc w:val="center"/>
              <w:rPr>
                <w:color w:val="000000"/>
                <w:sz w:val="24"/>
                <w:szCs w:val="24"/>
              </w:rPr>
            </w:pPr>
            <w:r>
              <w:rPr>
                <w:rFonts w:hint="eastAsia"/>
                <w:color w:val="000000"/>
                <w:sz w:val="24"/>
                <w:szCs w:val="24"/>
              </w:rPr>
              <w:t>门诊前置审核</w:t>
            </w:r>
          </w:p>
        </w:tc>
        <w:tc>
          <w:tcPr>
            <w:tcW w:w="1629" w:type="pct"/>
            <w:tcBorders>
              <w:top w:val="nil"/>
              <w:left w:val="single" w:color="auto" w:sz="4" w:space="0"/>
              <w:bottom w:val="single" w:color="auto" w:sz="4" w:space="0"/>
              <w:right w:val="single" w:color="auto" w:sz="4" w:space="0"/>
            </w:tcBorders>
            <w:vAlign w:val="center"/>
          </w:tcPr>
          <w:p w14:paraId="5111103C">
            <w:pPr>
              <w:spacing w:line="360" w:lineRule="auto"/>
              <w:rPr>
                <w:color w:val="000000"/>
                <w:sz w:val="24"/>
                <w:szCs w:val="24"/>
              </w:rPr>
            </w:pPr>
            <w:r>
              <w:rPr>
                <w:rFonts w:hint="eastAsia"/>
                <w:color w:val="000000"/>
                <w:sz w:val="24"/>
                <w:szCs w:val="24"/>
              </w:rPr>
              <w:t>在医生为患者开具处方或门诊计费环节进行审核并及时预警，避免违规用药与高值高频诊疗项目的发生。门诊诊疗项目审核：包括但不限于男性开具女性项目，女性开具男性项目，限年龄加收项目等。</w:t>
            </w:r>
          </w:p>
        </w:tc>
        <w:tc>
          <w:tcPr>
            <w:tcW w:w="2355" w:type="pct"/>
            <w:tcBorders>
              <w:top w:val="nil"/>
              <w:left w:val="nil"/>
              <w:bottom w:val="single" w:color="auto" w:sz="4" w:space="0"/>
              <w:right w:val="single" w:color="auto" w:sz="4" w:space="0"/>
            </w:tcBorders>
            <w:vAlign w:val="center"/>
          </w:tcPr>
          <w:p w14:paraId="30B6E3A4">
            <w:pPr>
              <w:spacing w:line="360" w:lineRule="auto"/>
              <w:rPr>
                <w:color w:val="000000"/>
                <w:sz w:val="24"/>
                <w:szCs w:val="24"/>
              </w:rPr>
            </w:pPr>
            <w:r>
              <w:rPr>
                <w:rFonts w:hint="eastAsia"/>
                <w:color w:val="000000"/>
                <w:sz w:val="24"/>
                <w:szCs w:val="24"/>
              </w:rPr>
              <w:t>1.可以在医师保存处方时，通过大数据规则审核处方是否存在违反医保合理性、合规性的行为，并在HIS端展示审核返回违规行为的具体内容，包括违规预警条数、规则名称、违规原因、违规项目、预警级别等信息；</w:t>
            </w:r>
          </w:p>
          <w:p w14:paraId="40DBC90C">
            <w:pPr>
              <w:spacing w:line="360" w:lineRule="auto"/>
              <w:rPr>
                <w:color w:val="000000"/>
                <w:sz w:val="24"/>
                <w:szCs w:val="24"/>
              </w:rPr>
            </w:pPr>
            <w:r>
              <w:rPr>
                <w:rFonts w:hint="eastAsia"/>
                <w:color w:val="000000"/>
                <w:sz w:val="24"/>
                <w:szCs w:val="24"/>
              </w:rPr>
              <w:t>2.支持对预警条目操作忽略并填写理由，相应条目后续不再触发预警</w:t>
            </w:r>
          </w:p>
          <w:p w14:paraId="1AD47869">
            <w:pPr>
              <w:spacing w:line="360" w:lineRule="auto"/>
              <w:rPr>
                <w:color w:val="000000"/>
                <w:sz w:val="24"/>
                <w:szCs w:val="24"/>
              </w:rPr>
            </w:pPr>
            <w:r>
              <w:rPr>
                <w:rFonts w:hint="eastAsia"/>
                <w:color w:val="000000"/>
                <w:sz w:val="24"/>
                <w:szCs w:val="24"/>
              </w:rPr>
              <w:t>3.支持筛选和查看临床对违规项目的忽略记录和理由；</w:t>
            </w:r>
          </w:p>
        </w:tc>
      </w:tr>
      <w:tr w14:paraId="280A4C71">
        <w:tblPrEx>
          <w:tblCellMar>
            <w:top w:w="0" w:type="dxa"/>
            <w:left w:w="108" w:type="dxa"/>
            <w:bottom w:w="0" w:type="dxa"/>
            <w:right w:w="108" w:type="dxa"/>
          </w:tblCellMar>
        </w:tblPrEx>
        <w:trPr>
          <w:trHeight w:val="627" w:hRule="atLeast"/>
        </w:trPr>
        <w:tc>
          <w:tcPr>
            <w:tcW w:w="361" w:type="pct"/>
            <w:tcBorders>
              <w:top w:val="nil"/>
              <w:left w:val="single" w:color="auto" w:sz="4" w:space="0"/>
              <w:bottom w:val="single" w:color="auto" w:sz="4" w:space="0"/>
              <w:right w:val="single" w:color="auto" w:sz="4" w:space="0"/>
            </w:tcBorders>
            <w:vAlign w:val="center"/>
          </w:tcPr>
          <w:p w14:paraId="56BF1E4D">
            <w:pPr>
              <w:spacing w:line="360" w:lineRule="auto"/>
              <w:jc w:val="center"/>
              <w:rPr>
                <w:color w:val="000000"/>
                <w:sz w:val="24"/>
                <w:szCs w:val="24"/>
              </w:rPr>
            </w:pPr>
            <w:r>
              <w:rPr>
                <w:rFonts w:hint="eastAsia"/>
                <w:color w:val="000000"/>
                <w:sz w:val="24"/>
                <w:szCs w:val="24"/>
              </w:rPr>
              <w:t>7</w:t>
            </w:r>
          </w:p>
        </w:tc>
        <w:tc>
          <w:tcPr>
            <w:tcW w:w="652" w:type="pct"/>
            <w:tcBorders>
              <w:top w:val="nil"/>
              <w:left w:val="nil"/>
              <w:bottom w:val="single" w:color="auto" w:sz="4" w:space="0"/>
              <w:right w:val="single" w:color="auto" w:sz="4" w:space="0"/>
            </w:tcBorders>
            <w:noWrap/>
            <w:vAlign w:val="center"/>
          </w:tcPr>
          <w:p w14:paraId="61D5A139">
            <w:pPr>
              <w:spacing w:line="360" w:lineRule="auto"/>
              <w:jc w:val="center"/>
              <w:rPr>
                <w:color w:val="000000"/>
                <w:sz w:val="24"/>
                <w:szCs w:val="24"/>
              </w:rPr>
            </w:pPr>
            <w:r>
              <w:rPr>
                <w:rFonts w:hint="eastAsia"/>
                <w:color w:val="000000"/>
                <w:sz w:val="24"/>
                <w:szCs w:val="24"/>
              </w:rPr>
              <w:t>医保稽核申诉</w:t>
            </w:r>
          </w:p>
        </w:tc>
        <w:tc>
          <w:tcPr>
            <w:tcW w:w="1629" w:type="pct"/>
            <w:tcBorders>
              <w:top w:val="nil"/>
              <w:left w:val="nil"/>
              <w:bottom w:val="single" w:color="auto" w:sz="4" w:space="0"/>
              <w:right w:val="single" w:color="auto" w:sz="4" w:space="0"/>
            </w:tcBorders>
            <w:vAlign w:val="center"/>
          </w:tcPr>
          <w:p w14:paraId="011DE433">
            <w:pPr>
              <w:spacing w:line="360" w:lineRule="auto"/>
              <w:rPr>
                <w:color w:val="000000"/>
                <w:sz w:val="24"/>
                <w:szCs w:val="24"/>
              </w:rPr>
            </w:pPr>
            <w:r>
              <w:rPr>
                <w:rFonts w:hint="eastAsia"/>
                <w:color w:val="000000"/>
                <w:sz w:val="24"/>
                <w:szCs w:val="24"/>
              </w:rPr>
              <w:t>导入医保违规信息，在平台上实现违规单据的在线申诉管理，包含申诉资料上传、下载、查看、审批等。</w:t>
            </w:r>
          </w:p>
        </w:tc>
        <w:tc>
          <w:tcPr>
            <w:tcW w:w="2355" w:type="pct"/>
            <w:tcBorders>
              <w:top w:val="nil"/>
              <w:left w:val="nil"/>
              <w:bottom w:val="single" w:color="auto" w:sz="4" w:space="0"/>
              <w:right w:val="single" w:color="auto" w:sz="4" w:space="0"/>
            </w:tcBorders>
            <w:vAlign w:val="center"/>
          </w:tcPr>
          <w:p w14:paraId="5DF7E3CE">
            <w:pPr>
              <w:spacing w:line="360" w:lineRule="auto"/>
              <w:rPr>
                <w:color w:val="000000"/>
                <w:sz w:val="24"/>
                <w:szCs w:val="24"/>
              </w:rPr>
            </w:pPr>
            <w:r>
              <w:rPr>
                <w:rFonts w:hint="eastAsia"/>
                <w:color w:val="000000"/>
                <w:sz w:val="24"/>
                <w:szCs w:val="24"/>
              </w:rPr>
              <w:t>1.支持按月导入医保局下发的违规单，提供多种匹配方式配置，保证找到对应患者和医生。</w:t>
            </w:r>
          </w:p>
          <w:p w14:paraId="4D9ACC9C">
            <w:pPr>
              <w:spacing w:line="360" w:lineRule="auto"/>
              <w:rPr>
                <w:color w:val="000000"/>
                <w:sz w:val="24"/>
                <w:szCs w:val="24"/>
              </w:rPr>
            </w:pPr>
            <w:r>
              <w:rPr>
                <w:rFonts w:hint="eastAsia"/>
                <w:color w:val="000000"/>
                <w:sz w:val="24"/>
                <w:szCs w:val="24"/>
              </w:rPr>
              <w:t xml:space="preserve">2.可根据登录用户权限范围查看对应的违规单详情列表，支持对违规项目进行申诉，填写申诉理由，支持添加上传申诉支撑材料；  </w:t>
            </w:r>
          </w:p>
          <w:p w14:paraId="7955119C">
            <w:pPr>
              <w:spacing w:line="360" w:lineRule="auto"/>
              <w:rPr>
                <w:color w:val="000000"/>
                <w:sz w:val="24"/>
                <w:szCs w:val="24"/>
              </w:rPr>
            </w:pPr>
          </w:p>
        </w:tc>
      </w:tr>
      <w:tr w14:paraId="40249429">
        <w:tblPrEx>
          <w:tblCellMar>
            <w:top w:w="0" w:type="dxa"/>
            <w:left w:w="108" w:type="dxa"/>
            <w:bottom w:w="0" w:type="dxa"/>
            <w:right w:w="108" w:type="dxa"/>
          </w:tblCellMar>
        </w:tblPrEx>
        <w:trPr>
          <w:trHeight w:val="637" w:hRule="atLeast"/>
        </w:trPr>
        <w:tc>
          <w:tcPr>
            <w:tcW w:w="361" w:type="pct"/>
            <w:tcBorders>
              <w:top w:val="nil"/>
              <w:left w:val="single" w:color="auto" w:sz="4" w:space="0"/>
              <w:bottom w:val="single" w:color="auto" w:sz="4" w:space="0"/>
              <w:right w:val="single" w:color="auto" w:sz="4" w:space="0"/>
            </w:tcBorders>
            <w:vAlign w:val="center"/>
          </w:tcPr>
          <w:p w14:paraId="41EB7FF4">
            <w:pPr>
              <w:spacing w:line="360" w:lineRule="auto"/>
              <w:jc w:val="center"/>
              <w:rPr>
                <w:color w:val="000000"/>
                <w:sz w:val="24"/>
                <w:szCs w:val="24"/>
              </w:rPr>
            </w:pPr>
            <w:r>
              <w:rPr>
                <w:rFonts w:hint="eastAsia"/>
                <w:color w:val="000000"/>
                <w:sz w:val="24"/>
                <w:szCs w:val="24"/>
              </w:rPr>
              <w:t>8</w:t>
            </w:r>
          </w:p>
        </w:tc>
        <w:tc>
          <w:tcPr>
            <w:tcW w:w="652" w:type="pct"/>
            <w:tcBorders>
              <w:top w:val="nil"/>
              <w:left w:val="nil"/>
              <w:bottom w:val="single" w:color="auto" w:sz="4" w:space="0"/>
              <w:right w:val="single" w:color="auto" w:sz="4" w:space="0"/>
            </w:tcBorders>
            <w:noWrap/>
            <w:vAlign w:val="center"/>
          </w:tcPr>
          <w:p w14:paraId="298F96B4">
            <w:pPr>
              <w:spacing w:line="360" w:lineRule="auto"/>
              <w:jc w:val="center"/>
              <w:rPr>
                <w:color w:val="000000"/>
                <w:sz w:val="24"/>
                <w:szCs w:val="24"/>
              </w:rPr>
            </w:pPr>
            <w:r>
              <w:rPr>
                <w:rFonts w:hint="eastAsia"/>
                <w:color w:val="000000"/>
                <w:sz w:val="24"/>
                <w:szCs w:val="24"/>
              </w:rPr>
              <w:t>数据采集</w:t>
            </w:r>
          </w:p>
        </w:tc>
        <w:tc>
          <w:tcPr>
            <w:tcW w:w="1629" w:type="pct"/>
            <w:tcBorders>
              <w:top w:val="nil"/>
              <w:left w:val="nil"/>
              <w:bottom w:val="single" w:color="auto" w:sz="4" w:space="0"/>
              <w:right w:val="single" w:color="auto" w:sz="4" w:space="0"/>
            </w:tcBorders>
            <w:vAlign w:val="center"/>
          </w:tcPr>
          <w:p w14:paraId="580F1965">
            <w:pPr>
              <w:spacing w:line="360" w:lineRule="auto"/>
              <w:rPr>
                <w:color w:val="000000"/>
                <w:sz w:val="24"/>
                <w:szCs w:val="24"/>
              </w:rPr>
            </w:pPr>
            <w:r>
              <w:rPr>
                <w:rFonts w:hint="eastAsia"/>
                <w:color w:val="000000"/>
                <w:sz w:val="24"/>
                <w:szCs w:val="24"/>
              </w:rPr>
              <w:t>能够实现与医院现有业务系统的数据对接，自动完成医疗费用相关数据采集，并自动完成物价智能审核数据的数据验证和中间结果数据生成工作。能够配置定时数据调度任务，并监控任务执行情况等</w:t>
            </w:r>
          </w:p>
        </w:tc>
        <w:tc>
          <w:tcPr>
            <w:tcW w:w="2355" w:type="pct"/>
            <w:tcBorders>
              <w:top w:val="nil"/>
              <w:left w:val="nil"/>
              <w:bottom w:val="single" w:color="auto" w:sz="4" w:space="0"/>
              <w:right w:val="single" w:color="auto" w:sz="4" w:space="0"/>
            </w:tcBorders>
            <w:vAlign w:val="center"/>
          </w:tcPr>
          <w:p w14:paraId="6832C9D6">
            <w:pPr>
              <w:spacing w:line="360" w:lineRule="auto"/>
              <w:rPr>
                <w:color w:val="000000"/>
                <w:sz w:val="24"/>
                <w:szCs w:val="24"/>
              </w:rPr>
            </w:pPr>
            <w:r>
              <w:rPr>
                <w:rFonts w:hint="eastAsia"/>
                <w:color w:val="000000"/>
                <w:sz w:val="24"/>
                <w:szCs w:val="24"/>
              </w:rPr>
              <w:t>1.能够实现与医院现有业务系统的数据对接，自动完成医疗费用相关数据采集，并自动完成物价智能审核数据的数据验证和中间结果数据生成工作</w:t>
            </w:r>
          </w:p>
          <w:p w14:paraId="21AC5481">
            <w:pPr>
              <w:spacing w:line="360" w:lineRule="auto"/>
              <w:rPr>
                <w:color w:val="000000"/>
                <w:sz w:val="24"/>
                <w:szCs w:val="24"/>
              </w:rPr>
            </w:pPr>
            <w:r>
              <w:rPr>
                <w:rFonts w:hint="eastAsia"/>
                <w:color w:val="000000"/>
                <w:sz w:val="24"/>
                <w:szCs w:val="24"/>
              </w:rPr>
              <w:t>2.支持不同数据来源和不同方式的接口功能开发，可定时自动执行或手工运行，包括定时执行、按日、周、或指定日期的周期性执行，可按需对同步方式进行个性化设置</w:t>
            </w:r>
          </w:p>
        </w:tc>
      </w:tr>
    </w:tbl>
    <w:p w14:paraId="7B9AC18A">
      <w:pPr>
        <w:pStyle w:val="3"/>
        <w:numPr>
          <w:ilvl w:val="0"/>
          <w:numId w:val="2"/>
        </w:numPr>
        <w:spacing w:before="312" w:beforeLines="100" w:after="312" w:afterLines="100" w:line="360" w:lineRule="auto"/>
        <w:rPr>
          <w:rFonts w:ascii="宋体" w:hAnsi="宋体" w:cs="宋体"/>
          <w:kern w:val="2"/>
          <w:sz w:val="24"/>
          <w:szCs w:val="24"/>
          <w:shd w:val="clear" w:color="auto" w:fill="FFFFFF"/>
        </w:rPr>
      </w:pPr>
      <w:r>
        <w:rPr>
          <w:rFonts w:hint="eastAsia" w:ascii="宋体" w:hAnsi="宋体" w:cs="宋体"/>
          <w:kern w:val="2"/>
          <w:sz w:val="24"/>
          <w:szCs w:val="24"/>
          <w:shd w:val="clear" w:color="auto" w:fill="FFFFFF"/>
        </w:rPr>
        <w:t>系统演示</w:t>
      </w:r>
    </w:p>
    <w:p w14:paraId="19E307E0">
      <w:pPr>
        <w:spacing w:line="360" w:lineRule="auto"/>
        <w:ind w:firstLine="480" w:firstLineChars="200"/>
        <w:rPr>
          <w:sz w:val="24"/>
          <w:szCs w:val="24"/>
        </w:rPr>
      </w:pPr>
      <w:r>
        <w:rPr>
          <w:rFonts w:hint="eastAsia"/>
          <w:sz w:val="24"/>
          <w:szCs w:val="24"/>
        </w:rPr>
        <w:t>投标人将演示内容自行录制成视频进行演示，统一采用录制真实软件操作或者软件demo视频方式进行逐项功能演示（视频画面需清晰），时间不超过15分钟。视频随投标文件上传，未上传或无法播放不得分。由于本项目要求支持IE、Chrome、Firefox、360极速等常用主流浏览器，演示将指定使用Chrome浏览器来完成。本项目应采用纯WEB技术，所有演示均不能采用ActiveX、Applet等插件技术。演示内容必须采用将在本项目中使用的分析工具或采集工具的原生功能上实现，不得弄虚作假。中标公示期间，采购人不排除请预中标人现场安装演示环境以证明投标现场演示内容真实可信的可能性。</w:t>
      </w:r>
      <w:r>
        <w:commentReference w:id="0"/>
      </w:r>
    </w:p>
    <w:p w14:paraId="134A7DC7">
      <w:pPr>
        <w:spacing w:line="360" w:lineRule="auto"/>
        <w:ind w:firstLine="480"/>
        <w:rPr>
          <w:rFonts w:hint="eastAsia" w:ascii="宋体" w:hAnsi="宋体" w:eastAsia="宋体" w:cs="宋体"/>
          <w:color w:val="auto"/>
          <w:highlight w:val="none"/>
          <w:u w:val="single"/>
        </w:rPr>
      </w:pPr>
    </w:p>
    <w:p w14:paraId="45A86DFE">
      <w:pPr>
        <w:spacing w:line="360" w:lineRule="auto"/>
        <w:jc w:val="both"/>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商务条款：</w:t>
      </w:r>
    </w:p>
    <w:p w14:paraId="754B415F">
      <w:pPr>
        <w:numPr>
          <w:ilvl w:val="0"/>
          <w:numId w:val="11"/>
        </w:numPr>
        <w:spacing w:line="360" w:lineRule="auto"/>
        <w:jc w:val="both"/>
        <w:rPr>
          <w:rFonts w:hint="eastAsia" w:ascii="宋体" w:hAnsi="宋体" w:eastAsia="宋体" w:cs="宋体"/>
          <w:b/>
          <w:bCs/>
          <w:color w:val="auto"/>
          <w:sz w:val="24"/>
          <w:szCs w:val="24"/>
          <w:highlight w:val="yellow"/>
          <w:u w:val="none"/>
          <w:lang w:val="en-US" w:eastAsia="zh-CN"/>
        </w:rPr>
      </w:pPr>
      <w:r>
        <w:rPr>
          <w:rFonts w:hint="eastAsia" w:ascii="宋体" w:hAnsi="宋体" w:eastAsia="宋体" w:cs="宋体"/>
          <w:b/>
          <w:bCs/>
          <w:color w:val="auto"/>
          <w:sz w:val="24"/>
          <w:szCs w:val="24"/>
          <w:highlight w:val="yellow"/>
          <w:u w:val="none"/>
          <w:lang w:val="en-US" w:eastAsia="zh-CN"/>
        </w:rPr>
        <w:t>服务期/工期：</w:t>
      </w:r>
    </w:p>
    <w:p w14:paraId="452AC58F">
      <w:pPr>
        <w:numPr>
          <w:ilvl w:val="0"/>
          <w:numId w:val="11"/>
        </w:numPr>
        <w:spacing w:line="360" w:lineRule="auto"/>
        <w:ind w:left="0" w:leftChars="0" w:firstLine="0" w:firstLineChars="0"/>
        <w:jc w:val="both"/>
        <w:rPr>
          <w:rFonts w:hint="eastAsia" w:ascii="宋体" w:hAnsi="宋体" w:eastAsia="宋体" w:cs="宋体"/>
          <w:b/>
          <w:bCs/>
          <w:color w:val="auto"/>
          <w:sz w:val="24"/>
          <w:szCs w:val="24"/>
          <w:highlight w:val="yellow"/>
          <w:u w:val="none"/>
          <w:lang w:val="en-US" w:eastAsia="zh-CN"/>
        </w:rPr>
      </w:pPr>
      <w:r>
        <w:rPr>
          <w:rFonts w:hint="eastAsia" w:ascii="宋体" w:hAnsi="宋体" w:eastAsia="宋体" w:cs="宋体"/>
          <w:b/>
          <w:bCs/>
          <w:color w:val="auto"/>
          <w:sz w:val="24"/>
          <w:szCs w:val="24"/>
          <w:highlight w:val="yellow"/>
          <w:u w:val="none"/>
          <w:lang w:val="en-US" w:eastAsia="zh-CN"/>
        </w:rPr>
        <w:t>付款方式：</w:t>
      </w:r>
    </w:p>
    <w:p w14:paraId="1C12F326">
      <w:pPr>
        <w:numPr>
          <w:ilvl w:val="0"/>
          <w:numId w:val="0"/>
        </w:numPr>
        <w:spacing w:line="360" w:lineRule="auto"/>
        <w:ind w:leftChars="0"/>
        <w:jc w:val="both"/>
        <w:rPr>
          <w:rFonts w:hint="eastAsia" w:ascii="宋体" w:hAnsi="宋体" w:eastAsia="宋体" w:cs="宋体"/>
          <w:color w:val="auto"/>
          <w:highlight w:val="none"/>
          <w:u w:val="single"/>
        </w:rPr>
      </w:pPr>
      <w:r>
        <w:rPr>
          <w:rFonts w:hint="eastAsia" w:ascii="宋体" w:hAnsi="宋体" w:eastAsia="宋体" w:cs="宋体"/>
          <w:b/>
          <w:bCs/>
          <w:color w:val="auto"/>
          <w:sz w:val="24"/>
          <w:szCs w:val="24"/>
          <w:highlight w:val="yellow"/>
          <w:u w:val="none"/>
          <w:lang w:val="en-US" w:eastAsia="zh-CN"/>
        </w:rPr>
        <w:t>3、</w:t>
      </w:r>
      <w:r>
        <w:rPr>
          <w:rFonts w:hint="eastAsia" w:ascii="宋体" w:hAnsi="宋体" w:cs="宋体"/>
          <w:b/>
          <w:bCs/>
          <w:color w:val="auto"/>
          <w:sz w:val="24"/>
          <w:szCs w:val="24"/>
          <w:highlight w:val="yellow"/>
          <w:u w:val="none"/>
          <w:lang w:val="en-US" w:eastAsia="zh-CN"/>
        </w:rPr>
        <w:t>免费运维期：一年</w:t>
      </w:r>
      <w:r>
        <w:rPr>
          <w:rFonts w:hint="eastAsia" w:ascii="宋体" w:hAnsi="宋体" w:eastAsia="宋体" w:cs="宋体"/>
          <w:color w:val="auto"/>
          <w:highlight w:val="none"/>
          <w:u w:val="single"/>
        </w:rPr>
        <w:br w:type="page" w:clear="all"/>
      </w:r>
    </w:p>
    <w:p w14:paraId="24C42EA8">
      <w:pPr>
        <w:pStyle w:val="236"/>
        <w:spacing w:before="0" w:after="0" w:line="360" w:lineRule="auto"/>
        <w:ind w:firstLine="883"/>
        <w:jc w:val="center"/>
        <w:rPr>
          <w:rFonts w:hint="eastAsia" w:ascii="宋体" w:hAnsi="宋体"/>
          <w:color w:val="auto"/>
          <w:highlight w:val="none"/>
        </w:rPr>
      </w:pPr>
      <w:r>
        <w:rPr>
          <w:rStyle w:val="89"/>
          <w:rFonts w:hint="eastAsia"/>
          <w:b/>
          <w:color w:val="auto"/>
          <w:highlight w:val="none"/>
        </w:rPr>
        <w:t>第五章 评审方法及评审标准</w:t>
      </w:r>
      <w:bookmarkEnd w:id="1"/>
      <w:bookmarkEnd w:id="25"/>
    </w:p>
    <w:p w14:paraId="0C77DF04">
      <w:pPr>
        <w:pStyle w:val="277"/>
        <w:spacing w:before="0" w:after="0"/>
        <w:ind w:firstLine="422"/>
        <w:rPr>
          <w:rFonts w:hint="eastAsia" w:ascii="宋体" w:hAnsi="宋体"/>
          <w:b/>
          <w:color w:val="auto"/>
          <w:sz w:val="21"/>
          <w:szCs w:val="21"/>
          <w:highlight w:val="none"/>
        </w:rPr>
      </w:pPr>
      <w:r>
        <w:rPr>
          <w:rFonts w:hint="eastAsia" w:ascii="宋体" w:hAnsi="宋体"/>
          <w:b/>
          <w:color w:val="auto"/>
          <w:sz w:val="21"/>
          <w:szCs w:val="21"/>
          <w:highlight w:val="none"/>
        </w:rPr>
        <w:t>一、评审方法</w:t>
      </w:r>
    </w:p>
    <w:p w14:paraId="63A2C0EA">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14:paraId="245D1B0B">
      <w:pPr>
        <w:spacing w:line="360" w:lineRule="auto"/>
        <w:ind w:firstLine="422"/>
        <w:rPr>
          <w:rFonts w:hint="eastAsia" w:ascii="宋体" w:hAnsi="宋体"/>
          <w:b/>
          <w:color w:val="auto"/>
          <w:szCs w:val="21"/>
          <w:highlight w:val="none"/>
          <w:lang w:eastAsia="zh-CN"/>
        </w:rPr>
      </w:pPr>
      <w:bookmarkStart w:id="40" w:name="_Toc449017024"/>
      <w:bookmarkStart w:id="41" w:name="_Toc449016388"/>
      <w:r>
        <w:rPr>
          <w:rFonts w:ascii="宋体" w:hAnsi="宋体"/>
          <w:b/>
          <w:color w:val="auto"/>
          <w:szCs w:val="21"/>
          <w:highlight w:val="none"/>
        </w:rPr>
        <w:t>二、</w:t>
      </w:r>
      <w:r>
        <w:rPr>
          <w:rFonts w:hint="eastAsia" w:ascii="宋体" w:hAnsi="宋体"/>
          <w:b/>
          <w:color w:val="auto"/>
          <w:szCs w:val="21"/>
          <w:highlight w:val="none"/>
        </w:rPr>
        <w:t>政府采购政策功能落实</w:t>
      </w:r>
      <w:bookmarkEnd w:id="40"/>
      <w:bookmarkEnd w:id="41"/>
      <w:r>
        <w:rPr>
          <w:rFonts w:hint="eastAsia" w:ascii="宋体" w:hAnsi="宋体"/>
          <w:b/>
          <w:color w:val="auto"/>
          <w:szCs w:val="21"/>
          <w:highlight w:val="none"/>
          <w:lang w:eastAsia="zh-CN"/>
        </w:rPr>
        <w:t>：</w:t>
      </w:r>
    </w:p>
    <w:p w14:paraId="0A400F17">
      <w:pPr>
        <w:spacing w:line="360" w:lineRule="auto"/>
        <w:ind w:firstLine="422"/>
        <w:rPr>
          <w:rFonts w:hint="eastAsia" w:ascii="宋体" w:hAnsi="宋体"/>
          <w:b/>
          <w:color w:val="auto"/>
          <w:szCs w:val="21"/>
          <w:highlight w:val="none"/>
        </w:rPr>
      </w:pPr>
      <w:r>
        <w:rPr>
          <w:rFonts w:hint="eastAsia" w:ascii="宋体" w:hAnsi="宋体" w:cs="宋体"/>
          <w:b/>
          <w:bCs/>
          <w:color w:val="auto"/>
          <w:sz w:val="21"/>
          <w:szCs w:val="21"/>
          <w:highlight w:val="none"/>
          <w:lang w:val="en-US" w:eastAsia="zh-CN"/>
        </w:rPr>
        <w:t>本项目专门面向中小企业采购，供应商必须在响应文件中提供中小企业声明函。</w:t>
      </w:r>
    </w:p>
    <w:p w14:paraId="26A8F7B0">
      <w:pPr>
        <w:pStyle w:val="277"/>
        <w:numPr>
          <w:ilvl w:val="0"/>
          <w:numId w:val="12"/>
        </w:numPr>
        <w:spacing w:before="0" w:after="0"/>
        <w:ind w:firstLine="422"/>
        <w:rPr>
          <w:rFonts w:hint="eastAsia" w:ascii="宋体" w:hAnsi="宋体"/>
          <w:b/>
          <w:color w:val="auto"/>
          <w:sz w:val="21"/>
          <w:szCs w:val="21"/>
          <w:highlight w:val="none"/>
        </w:rPr>
      </w:pPr>
      <w:r>
        <w:rPr>
          <w:rFonts w:hint="eastAsia" w:ascii="宋体" w:hAnsi="宋体"/>
          <w:b/>
          <w:color w:val="auto"/>
          <w:sz w:val="21"/>
          <w:szCs w:val="21"/>
          <w:highlight w:val="none"/>
        </w:rPr>
        <w:t>评审标准</w:t>
      </w:r>
    </w:p>
    <w:tbl>
      <w:tblPr>
        <w:tblStyle w:val="37"/>
        <w:tblW w:w="5323" w:type="pct"/>
        <w:tblInd w:w="-318" w:type="dxa"/>
        <w:tblLayout w:type="autofit"/>
        <w:tblCellMar>
          <w:top w:w="0" w:type="dxa"/>
          <w:left w:w="108" w:type="dxa"/>
          <w:bottom w:w="0" w:type="dxa"/>
          <w:right w:w="108" w:type="dxa"/>
        </w:tblCellMar>
      </w:tblPr>
      <w:tblGrid>
        <w:gridCol w:w="1355"/>
        <w:gridCol w:w="1040"/>
        <w:gridCol w:w="6678"/>
      </w:tblGrid>
      <w:tr w14:paraId="03F1C2D8">
        <w:tblPrEx>
          <w:tblCellMar>
            <w:top w:w="0" w:type="dxa"/>
            <w:left w:w="108" w:type="dxa"/>
            <w:bottom w:w="0" w:type="dxa"/>
            <w:right w:w="108" w:type="dxa"/>
          </w:tblCellMar>
        </w:tblPrEx>
        <w:trPr>
          <w:trHeight w:val="340" w:hRule="atLeast"/>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69248949">
            <w:pPr>
              <w:spacing w:line="360" w:lineRule="auto"/>
              <w:jc w:val="center"/>
              <w:rPr>
                <w:b/>
                <w:bCs/>
                <w:color w:val="000000"/>
                <w:sz w:val="24"/>
                <w:szCs w:val="28"/>
              </w:rPr>
            </w:pPr>
            <w:r>
              <w:rPr>
                <w:rFonts w:hint="eastAsia"/>
                <w:b/>
                <w:bCs/>
                <w:color w:val="000000"/>
                <w:sz w:val="24"/>
                <w:szCs w:val="28"/>
              </w:rPr>
              <w:t>评分项目</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5E81340D">
            <w:pPr>
              <w:spacing w:line="360" w:lineRule="auto"/>
              <w:jc w:val="center"/>
              <w:rPr>
                <w:b/>
                <w:bCs/>
                <w:color w:val="000000"/>
                <w:sz w:val="24"/>
                <w:szCs w:val="28"/>
              </w:rPr>
            </w:pPr>
            <w:r>
              <w:rPr>
                <w:rFonts w:hint="eastAsia"/>
                <w:b/>
                <w:bCs/>
                <w:color w:val="000000"/>
                <w:sz w:val="24"/>
                <w:szCs w:val="28"/>
              </w:rPr>
              <w:t>分值</w:t>
            </w:r>
          </w:p>
        </w:tc>
        <w:tc>
          <w:tcPr>
            <w:tcW w:w="3680" w:type="pct"/>
            <w:tcBorders>
              <w:top w:val="single" w:color="auto" w:sz="4" w:space="0"/>
              <w:left w:val="single" w:color="auto" w:sz="4" w:space="0"/>
              <w:bottom w:val="single" w:color="auto" w:sz="4" w:space="0"/>
              <w:right w:val="single" w:color="auto" w:sz="4" w:space="0"/>
            </w:tcBorders>
            <w:shd w:val="clear" w:color="auto" w:fill="auto"/>
            <w:vAlign w:val="center"/>
          </w:tcPr>
          <w:p w14:paraId="7F16E38D">
            <w:pPr>
              <w:spacing w:line="360" w:lineRule="auto"/>
              <w:jc w:val="center"/>
              <w:rPr>
                <w:b/>
                <w:bCs/>
                <w:color w:val="000000"/>
                <w:sz w:val="24"/>
                <w:szCs w:val="28"/>
              </w:rPr>
            </w:pPr>
            <w:r>
              <w:rPr>
                <w:rFonts w:hint="eastAsia"/>
                <w:b/>
                <w:bCs/>
                <w:color w:val="000000"/>
                <w:sz w:val="24"/>
                <w:szCs w:val="28"/>
              </w:rPr>
              <w:t>评标要点及说明</w:t>
            </w:r>
          </w:p>
        </w:tc>
      </w:tr>
      <w:tr w14:paraId="5B50EB03">
        <w:tblPrEx>
          <w:tblCellMar>
            <w:top w:w="0" w:type="dxa"/>
            <w:left w:w="108" w:type="dxa"/>
            <w:bottom w:w="0" w:type="dxa"/>
            <w:right w:w="108" w:type="dxa"/>
          </w:tblCellMar>
        </w:tblPrEx>
        <w:trPr>
          <w:trHeight w:val="340" w:hRule="atLeast"/>
        </w:trPr>
        <w:tc>
          <w:tcPr>
            <w:tcW w:w="5000" w:type="pct"/>
            <w:gridSpan w:val="3"/>
            <w:tcBorders>
              <w:top w:val="single" w:color="auto" w:sz="4" w:space="0"/>
              <w:left w:val="single" w:color="auto" w:sz="8" w:space="0"/>
              <w:bottom w:val="single" w:color="auto" w:sz="8" w:space="0"/>
              <w:right w:val="single" w:color="000000" w:sz="8" w:space="0"/>
            </w:tcBorders>
            <w:shd w:val="clear" w:color="auto" w:fill="auto"/>
            <w:vAlign w:val="center"/>
          </w:tcPr>
          <w:p w14:paraId="426314C7">
            <w:pPr>
              <w:spacing w:line="360" w:lineRule="auto"/>
              <w:jc w:val="both"/>
              <w:rPr>
                <w:b/>
                <w:bCs/>
                <w:color w:val="000000"/>
                <w:sz w:val="24"/>
                <w:szCs w:val="28"/>
              </w:rPr>
            </w:pPr>
            <w:r>
              <w:rPr>
                <w:rFonts w:hint="eastAsia"/>
                <w:b/>
                <w:bCs/>
                <w:color w:val="000000"/>
                <w:sz w:val="24"/>
                <w:szCs w:val="28"/>
              </w:rPr>
              <w:t>一、报价部分（10分）</w:t>
            </w:r>
          </w:p>
        </w:tc>
      </w:tr>
      <w:tr w14:paraId="746DE1CC">
        <w:tblPrEx>
          <w:tblCellMar>
            <w:top w:w="0" w:type="dxa"/>
            <w:left w:w="108" w:type="dxa"/>
            <w:bottom w:w="0" w:type="dxa"/>
            <w:right w:w="108" w:type="dxa"/>
          </w:tblCellMar>
        </w:tblPrEx>
        <w:trPr>
          <w:trHeight w:val="640" w:hRule="atLeast"/>
        </w:trPr>
        <w:tc>
          <w:tcPr>
            <w:tcW w:w="747" w:type="pct"/>
            <w:vMerge w:val="restart"/>
            <w:tcBorders>
              <w:top w:val="nil"/>
              <w:left w:val="single" w:color="auto" w:sz="8" w:space="0"/>
              <w:bottom w:val="single" w:color="000000" w:sz="8" w:space="0"/>
              <w:right w:val="single" w:color="auto" w:sz="8" w:space="0"/>
            </w:tcBorders>
            <w:shd w:val="clear" w:color="auto" w:fill="auto"/>
            <w:vAlign w:val="center"/>
          </w:tcPr>
          <w:p w14:paraId="7840E094">
            <w:pPr>
              <w:spacing w:line="360" w:lineRule="auto"/>
              <w:jc w:val="center"/>
              <w:rPr>
                <w:color w:val="000000"/>
                <w:sz w:val="24"/>
                <w:szCs w:val="28"/>
              </w:rPr>
            </w:pPr>
            <w:r>
              <w:rPr>
                <w:rFonts w:hint="eastAsia"/>
                <w:color w:val="000000"/>
                <w:sz w:val="24"/>
                <w:szCs w:val="28"/>
              </w:rPr>
              <w:t>投标报价</w:t>
            </w:r>
          </w:p>
        </w:tc>
        <w:tc>
          <w:tcPr>
            <w:tcW w:w="573" w:type="pct"/>
            <w:vMerge w:val="restart"/>
            <w:tcBorders>
              <w:top w:val="nil"/>
              <w:left w:val="single" w:color="auto" w:sz="8" w:space="0"/>
              <w:bottom w:val="single" w:color="000000" w:sz="8" w:space="0"/>
              <w:right w:val="single" w:color="auto" w:sz="8" w:space="0"/>
            </w:tcBorders>
            <w:shd w:val="clear" w:color="auto" w:fill="auto"/>
            <w:vAlign w:val="center"/>
          </w:tcPr>
          <w:p w14:paraId="49943BAA">
            <w:pPr>
              <w:spacing w:line="360" w:lineRule="auto"/>
              <w:jc w:val="center"/>
              <w:rPr>
                <w:color w:val="000000"/>
                <w:sz w:val="24"/>
                <w:szCs w:val="28"/>
              </w:rPr>
            </w:pPr>
            <w:r>
              <w:rPr>
                <w:rFonts w:hint="eastAsia"/>
                <w:color w:val="000000"/>
                <w:sz w:val="24"/>
                <w:szCs w:val="28"/>
              </w:rPr>
              <w:t>10</w:t>
            </w:r>
          </w:p>
        </w:tc>
        <w:tc>
          <w:tcPr>
            <w:tcW w:w="3680" w:type="pct"/>
            <w:tcBorders>
              <w:top w:val="nil"/>
              <w:left w:val="nil"/>
              <w:bottom w:val="nil"/>
              <w:right w:val="single" w:color="auto" w:sz="8" w:space="0"/>
            </w:tcBorders>
            <w:shd w:val="clear" w:color="auto" w:fill="auto"/>
            <w:vAlign w:val="center"/>
          </w:tcPr>
          <w:p w14:paraId="74B08234">
            <w:pPr>
              <w:spacing w:line="360" w:lineRule="auto"/>
              <w:rPr>
                <w:color w:val="000000"/>
                <w:sz w:val="24"/>
                <w:szCs w:val="28"/>
              </w:rPr>
            </w:pPr>
            <w:r>
              <w:rPr>
                <w:rFonts w:hint="eastAsia"/>
                <w:color w:val="000000"/>
                <w:sz w:val="24"/>
                <w:szCs w:val="28"/>
              </w:rPr>
              <w:t>满足招标文件要求且有效投标价格中的最低价（评审价）为评标基准价，其价格分为满10分。</w:t>
            </w:r>
          </w:p>
        </w:tc>
      </w:tr>
      <w:tr w14:paraId="09DA9124">
        <w:tblPrEx>
          <w:tblCellMar>
            <w:top w:w="0" w:type="dxa"/>
            <w:left w:w="108" w:type="dxa"/>
            <w:bottom w:w="0" w:type="dxa"/>
            <w:right w:w="108" w:type="dxa"/>
          </w:tblCellMar>
        </w:tblPrEx>
        <w:trPr>
          <w:trHeight w:val="320" w:hRule="atLeast"/>
        </w:trPr>
        <w:tc>
          <w:tcPr>
            <w:tcW w:w="747" w:type="pct"/>
            <w:vMerge w:val="continue"/>
            <w:tcBorders>
              <w:top w:val="nil"/>
              <w:left w:val="single" w:color="auto" w:sz="8" w:space="0"/>
              <w:bottom w:val="single" w:color="000000" w:sz="8" w:space="0"/>
              <w:right w:val="single" w:color="auto" w:sz="8" w:space="0"/>
            </w:tcBorders>
            <w:vAlign w:val="center"/>
          </w:tcPr>
          <w:p w14:paraId="737EE826">
            <w:pPr>
              <w:spacing w:line="360" w:lineRule="auto"/>
              <w:rPr>
                <w:color w:val="000000"/>
                <w:sz w:val="24"/>
                <w:szCs w:val="28"/>
              </w:rPr>
            </w:pPr>
          </w:p>
        </w:tc>
        <w:tc>
          <w:tcPr>
            <w:tcW w:w="573" w:type="pct"/>
            <w:vMerge w:val="continue"/>
            <w:tcBorders>
              <w:top w:val="nil"/>
              <w:left w:val="single" w:color="auto" w:sz="8" w:space="0"/>
              <w:bottom w:val="single" w:color="000000" w:sz="8" w:space="0"/>
              <w:right w:val="single" w:color="auto" w:sz="8" w:space="0"/>
            </w:tcBorders>
            <w:vAlign w:val="center"/>
          </w:tcPr>
          <w:p w14:paraId="33AD0CD1">
            <w:pPr>
              <w:spacing w:line="360" w:lineRule="auto"/>
              <w:rPr>
                <w:color w:val="000000"/>
                <w:sz w:val="24"/>
                <w:szCs w:val="28"/>
              </w:rPr>
            </w:pPr>
          </w:p>
        </w:tc>
        <w:tc>
          <w:tcPr>
            <w:tcW w:w="3680" w:type="pct"/>
            <w:tcBorders>
              <w:top w:val="nil"/>
              <w:left w:val="nil"/>
              <w:bottom w:val="nil"/>
              <w:right w:val="single" w:color="auto" w:sz="8" w:space="0"/>
            </w:tcBorders>
            <w:shd w:val="clear" w:color="auto" w:fill="auto"/>
            <w:vAlign w:val="center"/>
          </w:tcPr>
          <w:p w14:paraId="26AEDC53">
            <w:pPr>
              <w:spacing w:line="360" w:lineRule="auto"/>
              <w:rPr>
                <w:color w:val="000000"/>
                <w:sz w:val="24"/>
                <w:szCs w:val="28"/>
              </w:rPr>
            </w:pPr>
            <w:r>
              <w:rPr>
                <w:rFonts w:hint="eastAsia"/>
                <w:color w:val="000000"/>
                <w:sz w:val="24"/>
                <w:szCs w:val="28"/>
              </w:rPr>
              <w:t>其他投标人的价格分统一按照下列公式计算：</w:t>
            </w:r>
          </w:p>
        </w:tc>
      </w:tr>
      <w:tr w14:paraId="7060431A">
        <w:tblPrEx>
          <w:tblCellMar>
            <w:top w:w="0" w:type="dxa"/>
            <w:left w:w="108" w:type="dxa"/>
            <w:bottom w:w="0" w:type="dxa"/>
            <w:right w:w="108" w:type="dxa"/>
          </w:tblCellMar>
        </w:tblPrEx>
        <w:trPr>
          <w:trHeight w:val="340" w:hRule="atLeast"/>
        </w:trPr>
        <w:tc>
          <w:tcPr>
            <w:tcW w:w="747" w:type="pct"/>
            <w:vMerge w:val="continue"/>
            <w:tcBorders>
              <w:top w:val="nil"/>
              <w:left w:val="single" w:color="auto" w:sz="8" w:space="0"/>
              <w:bottom w:val="single" w:color="000000" w:sz="8" w:space="0"/>
              <w:right w:val="single" w:color="auto" w:sz="8" w:space="0"/>
            </w:tcBorders>
            <w:vAlign w:val="center"/>
          </w:tcPr>
          <w:p w14:paraId="6CEE68C3">
            <w:pPr>
              <w:spacing w:line="360" w:lineRule="auto"/>
              <w:rPr>
                <w:color w:val="000000"/>
                <w:sz w:val="24"/>
                <w:szCs w:val="28"/>
              </w:rPr>
            </w:pPr>
          </w:p>
        </w:tc>
        <w:tc>
          <w:tcPr>
            <w:tcW w:w="573" w:type="pct"/>
            <w:vMerge w:val="continue"/>
            <w:tcBorders>
              <w:top w:val="nil"/>
              <w:left w:val="single" w:color="auto" w:sz="8" w:space="0"/>
              <w:bottom w:val="single" w:color="000000" w:sz="8" w:space="0"/>
              <w:right w:val="single" w:color="auto" w:sz="8" w:space="0"/>
            </w:tcBorders>
            <w:vAlign w:val="center"/>
          </w:tcPr>
          <w:p w14:paraId="67E67835">
            <w:pPr>
              <w:spacing w:line="360" w:lineRule="auto"/>
              <w:rPr>
                <w:color w:val="000000"/>
                <w:sz w:val="24"/>
                <w:szCs w:val="28"/>
              </w:rPr>
            </w:pPr>
          </w:p>
        </w:tc>
        <w:tc>
          <w:tcPr>
            <w:tcW w:w="3680" w:type="pct"/>
            <w:tcBorders>
              <w:top w:val="nil"/>
              <w:left w:val="nil"/>
              <w:bottom w:val="single" w:color="auto" w:sz="8" w:space="0"/>
              <w:right w:val="single" w:color="auto" w:sz="8" w:space="0"/>
            </w:tcBorders>
            <w:shd w:val="clear" w:color="auto" w:fill="auto"/>
            <w:vAlign w:val="center"/>
          </w:tcPr>
          <w:p w14:paraId="3B5604E7">
            <w:pPr>
              <w:spacing w:line="360" w:lineRule="auto"/>
              <w:rPr>
                <w:color w:val="000000"/>
                <w:sz w:val="24"/>
                <w:szCs w:val="28"/>
              </w:rPr>
            </w:pPr>
            <w:r>
              <w:rPr>
                <w:rFonts w:hint="eastAsia"/>
                <w:color w:val="000000"/>
                <w:sz w:val="24"/>
                <w:szCs w:val="28"/>
              </w:rPr>
              <w:t>投标报价得分=（评标基准价/投标报价）×价格权值（即10%）×100。</w:t>
            </w:r>
          </w:p>
        </w:tc>
      </w:tr>
      <w:tr w14:paraId="25FBE4C2">
        <w:tblPrEx>
          <w:tblCellMar>
            <w:top w:w="0" w:type="dxa"/>
            <w:left w:w="108" w:type="dxa"/>
            <w:bottom w:w="0" w:type="dxa"/>
            <w:right w:w="108" w:type="dxa"/>
          </w:tblCellMar>
        </w:tblPrEx>
        <w:trPr>
          <w:trHeight w:val="340" w:hRule="atLeast"/>
        </w:trPr>
        <w:tc>
          <w:tcPr>
            <w:tcW w:w="50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61A8FA37">
            <w:pPr>
              <w:spacing w:line="360" w:lineRule="auto"/>
              <w:rPr>
                <w:b/>
                <w:bCs/>
                <w:color w:val="000000"/>
                <w:sz w:val="24"/>
                <w:szCs w:val="28"/>
              </w:rPr>
            </w:pPr>
            <w:r>
              <w:rPr>
                <w:rFonts w:hint="eastAsia"/>
                <w:b/>
                <w:bCs/>
                <w:color w:val="000000"/>
                <w:sz w:val="24"/>
                <w:szCs w:val="28"/>
              </w:rPr>
              <w:t>二、技术部分（60分）</w:t>
            </w:r>
          </w:p>
        </w:tc>
      </w:tr>
      <w:tr w14:paraId="05028DF6">
        <w:tblPrEx>
          <w:tblCellMar>
            <w:top w:w="0" w:type="dxa"/>
            <w:left w:w="108" w:type="dxa"/>
            <w:bottom w:w="0" w:type="dxa"/>
            <w:right w:w="108" w:type="dxa"/>
          </w:tblCellMar>
        </w:tblPrEx>
        <w:trPr>
          <w:trHeight w:val="620" w:hRule="atLeast"/>
        </w:trPr>
        <w:tc>
          <w:tcPr>
            <w:tcW w:w="747" w:type="pct"/>
            <w:tcBorders>
              <w:top w:val="nil"/>
              <w:left w:val="single" w:color="auto" w:sz="8" w:space="0"/>
              <w:bottom w:val="single" w:color="auto" w:sz="8" w:space="0"/>
              <w:right w:val="single" w:color="auto" w:sz="8" w:space="0"/>
            </w:tcBorders>
            <w:shd w:val="clear" w:color="auto" w:fill="auto"/>
            <w:vAlign w:val="center"/>
          </w:tcPr>
          <w:p w14:paraId="75E12D04">
            <w:pPr>
              <w:spacing w:line="360" w:lineRule="auto"/>
              <w:jc w:val="center"/>
              <w:rPr>
                <w:color w:val="000000"/>
                <w:sz w:val="24"/>
                <w:szCs w:val="28"/>
              </w:rPr>
            </w:pPr>
            <w:r>
              <w:rPr>
                <w:rFonts w:hint="eastAsia"/>
                <w:color w:val="000000"/>
                <w:sz w:val="24"/>
                <w:szCs w:val="28"/>
              </w:rPr>
              <w:t>技术指标</w:t>
            </w:r>
          </w:p>
        </w:tc>
        <w:tc>
          <w:tcPr>
            <w:tcW w:w="573" w:type="pct"/>
            <w:tcBorders>
              <w:top w:val="nil"/>
              <w:left w:val="nil"/>
              <w:bottom w:val="single" w:color="auto" w:sz="8" w:space="0"/>
              <w:right w:val="single" w:color="auto" w:sz="8" w:space="0"/>
            </w:tcBorders>
            <w:shd w:val="clear" w:color="auto" w:fill="auto"/>
            <w:vAlign w:val="center"/>
          </w:tcPr>
          <w:p w14:paraId="6583A3D9">
            <w:pPr>
              <w:spacing w:line="360" w:lineRule="auto"/>
              <w:jc w:val="center"/>
              <w:rPr>
                <w:color w:val="000000"/>
                <w:sz w:val="24"/>
                <w:szCs w:val="28"/>
              </w:rPr>
            </w:pPr>
            <w:r>
              <w:rPr>
                <w:rFonts w:hint="eastAsia"/>
                <w:color w:val="000000"/>
                <w:sz w:val="24"/>
                <w:szCs w:val="28"/>
              </w:rPr>
              <w:t>18</w:t>
            </w:r>
          </w:p>
        </w:tc>
        <w:tc>
          <w:tcPr>
            <w:tcW w:w="3680" w:type="pct"/>
            <w:tcBorders>
              <w:top w:val="nil"/>
              <w:left w:val="nil"/>
              <w:bottom w:val="single" w:color="auto" w:sz="8" w:space="0"/>
              <w:right w:val="single" w:color="auto" w:sz="8" w:space="0"/>
            </w:tcBorders>
            <w:shd w:val="clear" w:color="auto" w:fill="auto"/>
            <w:vAlign w:val="center"/>
          </w:tcPr>
          <w:p w14:paraId="4A335A93">
            <w:pPr>
              <w:spacing w:line="360" w:lineRule="auto"/>
              <w:jc w:val="both"/>
              <w:rPr>
                <w:color w:val="000000"/>
                <w:sz w:val="24"/>
                <w:szCs w:val="28"/>
              </w:rPr>
            </w:pPr>
            <w:r>
              <w:rPr>
                <w:rFonts w:hint="eastAsia"/>
                <w:color w:val="000000"/>
                <w:sz w:val="24"/>
                <w:szCs w:val="28"/>
              </w:rPr>
              <w:t>采购需求中加“▲”标志的为重要响应指标，每满足一个“▲”号项的要求得1分，完全满足得18分。</w:t>
            </w:r>
          </w:p>
        </w:tc>
      </w:tr>
      <w:tr w14:paraId="24745B9C">
        <w:tblPrEx>
          <w:tblCellMar>
            <w:top w:w="0" w:type="dxa"/>
            <w:left w:w="108" w:type="dxa"/>
            <w:bottom w:w="0" w:type="dxa"/>
            <w:right w:w="108" w:type="dxa"/>
          </w:tblCellMar>
        </w:tblPrEx>
        <w:trPr>
          <w:trHeight w:val="1620" w:hRule="atLeast"/>
        </w:trPr>
        <w:tc>
          <w:tcPr>
            <w:tcW w:w="747" w:type="pct"/>
            <w:vMerge w:val="restart"/>
            <w:tcBorders>
              <w:top w:val="nil"/>
              <w:left w:val="single" w:color="auto" w:sz="8" w:space="0"/>
              <w:bottom w:val="single" w:color="000000" w:sz="8" w:space="0"/>
              <w:right w:val="single" w:color="auto" w:sz="8" w:space="0"/>
            </w:tcBorders>
            <w:shd w:val="clear" w:color="auto" w:fill="auto"/>
            <w:vAlign w:val="center"/>
          </w:tcPr>
          <w:p w14:paraId="1E415FE3">
            <w:pPr>
              <w:spacing w:line="360" w:lineRule="auto"/>
              <w:jc w:val="center"/>
              <w:rPr>
                <w:color w:val="000000"/>
                <w:sz w:val="24"/>
                <w:szCs w:val="28"/>
              </w:rPr>
            </w:pPr>
            <w:r>
              <w:rPr>
                <w:rFonts w:hint="eastAsia"/>
                <w:color w:val="000000"/>
                <w:sz w:val="24"/>
                <w:szCs w:val="28"/>
              </w:rPr>
              <w:t>技术方案</w:t>
            </w:r>
          </w:p>
        </w:tc>
        <w:tc>
          <w:tcPr>
            <w:tcW w:w="573" w:type="pct"/>
            <w:vMerge w:val="restart"/>
            <w:tcBorders>
              <w:top w:val="nil"/>
              <w:left w:val="single" w:color="auto" w:sz="8" w:space="0"/>
              <w:bottom w:val="single" w:color="000000" w:sz="8" w:space="0"/>
              <w:right w:val="single" w:color="auto" w:sz="8" w:space="0"/>
            </w:tcBorders>
            <w:shd w:val="clear" w:color="auto" w:fill="auto"/>
            <w:vAlign w:val="center"/>
          </w:tcPr>
          <w:p w14:paraId="4A6BBFE6">
            <w:pPr>
              <w:spacing w:line="360" w:lineRule="auto"/>
              <w:jc w:val="center"/>
              <w:rPr>
                <w:color w:val="000000"/>
                <w:sz w:val="24"/>
                <w:szCs w:val="28"/>
              </w:rPr>
            </w:pPr>
            <w:r>
              <w:rPr>
                <w:rFonts w:hint="eastAsia"/>
                <w:color w:val="000000"/>
                <w:sz w:val="24"/>
                <w:szCs w:val="28"/>
              </w:rPr>
              <w:t>18</w:t>
            </w:r>
          </w:p>
        </w:tc>
        <w:tc>
          <w:tcPr>
            <w:tcW w:w="3680" w:type="pct"/>
            <w:tcBorders>
              <w:top w:val="nil"/>
              <w:left w:val="nil"/>
              <w:bottom w:val="single" w:color="auto" w:sz="8" w:space="0"/>
              <w:right w:val="single" w:color="auto" w:sz="8" w:space="0"/>
            </w:tcBorders>
            <w:shd w:val="clear" w:color="auto" w:fill="auto"/>
            <w:vAlign w:val="center"/>
          </w:tcPr>
          <w:p w14:paraId="6DDCFA5C">
            <w:pPr>
              <w:spacing w:line="360" w:lineRule="auto"/>
              <w:jc w:val="both"/>
              <w:rPr>
                <w:color w:val="000000"/>
                <w:sz w:val="24"/>
                <w:szCs w:val="28"/>
              </w:rPr>
            </w:pPr>
            <w:r>
              <w:rPr>
                <w:rFonts w:hint="eastAsia"/>
                <w:color w:val="000000"/>
                <w:sz w:val="24"/>
                <w:szCs w:val="28"/>
              </w:rPr>
              <w:t>1、DIP运营管理系统：根据招标文件中对“DIP运营管理系统”的建设要求，能详细说明所有模块的业务含义，技术思路合理、采用的技术先进、可操作性强，得</w:t>
            </w:r>
            <w:del w:id="1" w:author="方头大狮子" w:date="2025-02-12T11:53:04Z">
              <w:r>
                <w:rPr>
                  <w:rFonts w:hint="default"/>
                  <w:color w:val="000000"/>
                  <w:sz w:val="24"/>
                  <w:szCs w:val="28"/>
                  <w:lang w:val="en-US"/>
                </w:rPr>
                <w:delText>7-9</w:delText>
              </w:r>
            </w:del>
            <w:ins w:id="2" w:author="方头大狮子" w:date="2025-02-12T11:53:04Z">
              <w:r>
                <w:rPr>
                  <w:rFonts w:hint="eastAsia"/>
                  <w:color w:val="000000"/>
                  <w:sz w:val="24"/>
                  <w:szCs w:val="28"/>
                  <w:lang w:val="en-US" w:eastAsia="zh-CN"/>
                </w:rPr>
                <w:t>9</w:t>
              </w:r>
            </w:ins>
            <w:r>
              <w:rPr>
                <w:rFonts w:hint="eastAsia"/>
                <w:color w:val="000000"/>
                <w:sz w:val="24"/>
                <w:szCs w:val="28"/>
              </w:rPr>
              <w:t>分；对所有模块的业务含义说明较为粗略，技术思路较为合理、采用的技术较为可行，得</w:t>
            </w:r>
            <w:del w:id="3" w:author="方头大狮子" w:date="2025-02-12T11:53:07Z">
              <w:r>
                <w:rPr>
                  <w:rFonts w:hint="default"/>
                  <w:color w:val="000000"/>
                  <w:sz w:val="24"/>
                  <w:szCs w:val="28"/>
                  <w:lang w:val="en-US"/>
                </w:rPr>
                <w:delText>4-6</w:delText>
              </w:r>
            </w:del>
            <w:ins w:id="4" w:author="方头大狮子" w:date="2025-02-12T11:53:07Z">
              <w:r>
                <w:rPr>
                  <w:rFonts w:hint="eastAsia"/>
                  <w:color w:val="000000"/>
                  <w:sz w:val="24"/>
                  <w:szCs w:val="28"/>
                  <w:lang w:val="en-US" w:eastAsia="zh-CN"/>
                </w:rPr>
                <w:t>6</w:t>
              </w:r>
            </w:ins>
            <w:r>
              <w:rPr>
                <w:rFonts w:hint="eastAsia"/>
                <w:color w:val="000000"/>
                <w:sz w:val="24"/>
                <w:szCs w:val="28"/>
              </w:rPr>
              <w:t>分；只对关键模块的业务含义说进行了粗略说明，得</w:t>
            </w:r>
            <w:del w:id="5" w:author="方头大狮子" w:date="2025-02-12T11:53:11Z">
              <w:r>
                <w:rPr>
                  <w:rFonts w:hint="default"/>
                  <w:color w:val="000000"/>
                  <w:sz w:val="24"/>
                  <w:szCs w:val="28"/>
                  <w:lang w:val="en-US"/>
                </w:rPr>
                <w:delText>1-3</w:delText>
              </w:r>
            </w:del>
            <w:ins w:id="6" w:author="方头大狮子" w:date="2025-02-12T11:53:11Z">
              <w:r>
                <w:rPr>
                  <w:rFonts w:hint="eastAsia"/>
                  <w:color w:val="000000"/>
                  <w:sz w:val="24"/>
                  <w:szCs w:val="28"/>
                  <w:lang w:val="en-US" w:eastAsia="zh-CN"/>
                </w:rPr>
                <w:t>3</w:t>
              </w:r>
            </w:ins>
            <w:r>
              <w:rPr>
                <w:rFonts w:hint="eastAsia"/>
                <w:color w:val="000000"/>
                <w:sz w:val="24"/>
                <w:szCs w:val="28"/>
              </w:rPr>
              <w:t>分；未对关键模块的业务含义说进行说明，得0分。</w:t>
            </w:r>
          </w:p>
        </w:tc>
      </w:tr>
      <w:tr w14:paraId="067E71C2">
        <w:tblPrEx>
          <w:tblCellMar>
            <w:top w:w="0" w:type="dxa"/>
            <w:left w:w="108" w:type="dxa"/>
            <w:bottom w:w="0" w:type="dxa"/>
            <w:right w:w="108" w:type="dxa"/>
          </w:tblCellMar>
        </w:tblPrEx>
        <w:trPr>
          <w:trHeight w:val="1620" w:hRule="atLeast"/>
        </w:trPr>
        <w:tc>
          <w:tcPr>
            <w:tcW w:w="747" w:type="pct"/>
            <w:vMerge w:val="continue"/>
            <w:tcBorders>
              <w:top w:val="nil"/>
              <w:left w:val="single" w:color="auto" w:sz="8" w:space="0"/>
              <w:bottom w:val="single" w:color="auto" w:sz="4" w:space="0"/>
              <w:right w:val="single" w:color="auto" w:sz="8" w:space="0"/>
            </w:tcBorders>
            <w:vAlign w:val="center"/>
          </w:tcPr>
          <w:p w14:paraId="141EACF7">
            <w:pPr>
              <w:spacing w:line="360" w:lineRule="auto"/>
              <w:rPr>
                <w:color w:val="000000"/>
                <w:sz w:val="24"/>
                <w:szCs w:val="28"/>
              </w:rPr>
            </w:pPr>
          </w:p>
        </w:tc>
        <w:tc>
          <w:tcPr>
            <w:tcW w:w="573" w:type="pct"/>
            <w:vMerge w:val="continue"/>
            <w:tcBorders>
              <w:top w:val="nil"/>
              <w:left w:val="single" w:color="auto" w:sz="8" w:space="0"/>
              <w:bottom w:val="single" w:color="auto" w:sz="4" w:space="0"/>
              <w:right w:val="single" w:color="auto" w:sz="8" w:space="0"/>
            </w:tcBorders>
            <w:vAlign w:val="center"/>
          </w:tcPr>
          <w:p w14:paraId="02EAD459">
            <w:pPr>
              <w:spacing w:line="360" w:lineRule="auto"/>
              <w:rPr>
                <w:color w:val="000000"/>
                <w:sz w:val="24"/>
                <w:szCs w:val="28"/>
              </w:rPr>
            </w:pPr>
          </w:p>
        </w:tc>
        <w:tc>
          <w:tcPr>
            <w:tcW w:w="3680" w:type="pct"/>
            <w:tcBorders>
              <w:top w:val="nil"/>
              <w:left w:val="nil"/>
              <w:bottom w:val="single" w:color="auto" w:sz="4" w:space="0"/>
              <w:right w:val="single" w:color="auto" w:sz="8" w:space="0"/>
            </w:tcBorders>
            <w:shd w:val="clear" w:color="auto" w:fill="auto"/>
            <w:vAlign w:val="center"/>
          </w:tcPr>
          <w:p w14:paraId="435F0E93">
            <w:pPr>
              <w:spacing w:line="360" w:lineRule="auto"/>
              <w:jc w:val="both"/>
              <w:rPr>
                <w:color w:val="000000"/>
                <w:sz w:val="24"/>
                <w:szCs w:val="28"/>
              </w:rPr>
            </w:pPr>
            <w:r>
              <w:rPr>
                <w:rFonts w:hint="eastAsia"/>
                <w:color w:val="000000"/>
                <w:sz w:val="24"/>
                <w:szCs w:val="28"/>
              </w:rPr>
              <w:t>2、医保智能监控系统：根据招标文件中对“医保智能监控系统”的建设要求，能详细说明所有模块的业务含义，技术思路合理、采用的技术先进、可操作性强，得</w:t>
            </w:r>
            <w:del w:id="7" w:author="方头大狮子" w:date="2025-02-12T11:53:14Z">
              <w:r>
                <w:rPr>
                  <w:rFonts w:hint="default"/>
                  <w:color w:val="000000"/>
                  <w:sz w:val="24"/>
                  <w:szCs w:val="28"/>
                  <w:lang w:val="en-US"/>
                </w:rPr>
                <w:delText>7-9</w:delText>
              </w:r>
            </w:del>
            <w:ins w:id="8" w:author="方头大狮子" w:date="2025-02-12T11:53:14Z">
              <w:r>
                <w:rPr>
                  <w:rFonts w:hint="eastAsia"/>
                  <w:color w:val="000000"/>
                  <w:sz w:val="24"/>
                  <w:szCs w:val="28"/>
                  <w:lang w:val="en-US" w:eastAsia="zh-CN"/>
                </w:rPr>
                <w:t>9</w:t>
              </w:r>
            </w:ins>
            <w:r>
              <w:rPr>
                <w:rFonts w:hint="eastAsia"/>
                <w:color w:val="000000"/>
                <w:sz w:val="24"/>
                <w:szCs w:val="28"/>
              </w:rPr>
              <w:t>分；对所有模块的业务含义说明较为粗略，技术思路较为合理、采用的技术较为可行，得</w:t>
            </w:r>
            <w:del w:id="9" w:author="方头大狮子" w:date="2025-02-12T11:53:18Z">
              <w:r>
                <w:rPr>
                  <w:rFonts w:hint="default"/>
                  <w:color w:val="000000"/>
                  <w:sz w:val="24"/>
                  <w:szCs w:val="28"/>
                  <w:lang w:val="en-US"/>
                </w:rPr>
                <w:delText>4-6</w:delText>
              </w:r>
            </w:del>
            <w:ins w:id="10" w:author="方头大狮子" w:date="2025-02-12T11:53:18Z">
              <w:r>
                <w:rPr>
                  <w:rFonts w:hint="eastAsia"/>
                  <w:color w:val="000000"/>
                  <w:sz w:val="24"/>
                  <w:szCs w:val="28"/>
                  <w:lang w:val="en-US" w:eastAsia="zh-CN"/>
                </w:rPr>
                <w:t>6</w:t>
              </w:r>
            </w:ins>
            <w:r>
              <w:rPr>
                <w:rFonts w:hint="eastAsia"/>
                <w:color w:val="000000"/>
                <w:sz w:val="24"/>
                <w:szCs w:val="28"/>
              </w:rPr>
              <w:t>分；只对关键模块的业务含义说进行了粗略说明，得</w:t>
            </w:r>
            <w:del w:id="11" w:author="方头大狮子" w:date="2025-02-12T11:53:19Z">
              <w:r>
                <w:rPr>
                  <w:rFonts w:hint="default"/>
                  <w:color w:val="000000"/>
                  <w:sz w:val="24"/>
                  <w:szCs w:val="28"/>
                  <w:lang w:val="en-US"/>
                </w:rPr>
                <w:delText>1-3</w:delText>
              </w:r>
            </w:del>
            <w:ins w:id="12" w:author="方头大狮子" w:date="2025-02-12T11:53:19Z">
              <w:r>
                <w:rPr>
                  <w:rFonts w:hint="eastAsia"/>
                  <w:color w:val="000000"/>
                  <w:sz w:val="24"/>
                  <w:szCs w:val="28"/>
                  <w:lang w:val="en-US" w:eastAsia="zh-CN"/>
                </w:rPr>
                <w:t>3</w:t>
              </w:r>
            </w:ins>
            <w:r>
              <w:rPr>
                <w:rFonts w:hint="eastAsia"/>
                <w:color w:val="000000"/>
                <w:sz w:val="24"/>
                <w:szCs w:val="28"/>
              </w:rPr>
              <w:t>分；未对关键模块的业务含义说进行说明，得0分。</w:t>
            </w:r>
          </w:p>
        </w:tc>
      </w:tr>
      <w:tr w14:paraId="6DBA18A7">
        <w:tblPrEx>
          <w:tblCellMar>
            <w:top w:w="0" w:type="dxa"/>
            <w:left w:w="108" w:type="dxa"/>
            <w:bottom w:w="0" w:type="dxa"/>
            <w:right w:w="108" w:type="dxa"/>
          </w:tblCellMar>
        </w:tblPrEx>
        <w:trPr>
          <w:trHeight w:val="340" w:hRule="atLeast"/>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17E126CC">
            <w:pPr>
              <w:spacing w:line="360" w:lineRule="auto"/>
              <w:jc w:val="center"/>
              <w:rPr>
                <w:color w:val="000000"/>
                <w:sz w:val="24"/>
                <w:szCs w:val="28"/>
              </w:rPr>
            </w:pPr>
            <w:r>
              <w:rPr>
                <w:rFonts w:hint="eastAsia"/>
                <w:color w:val="000000"/>
                <w:sz w:val="24"/>
                <w:szCs w:val="28"/>
              </w:rPr>
              <w:t>系统演示</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6389CD0">
            <w:pPr>
              <w:spacing w:line="360" w:lineRule="auto"/>
              <w:jc w:val="center"/>
              <w:rPr>
                <w:color w:val="000000"/>
                <w:sz w:val="24"/>
                <w:szCs w:val="28"/>
              </w:rPr>
            </w:pPr>
            <w:r>
              <w:rPr>
                <w:rFonts w:hint="eastAsia"/>
                <w:color w:val="000000"/>
                <w:sz w:val="24"/>
                <w:szCs w:val="28"/>
              </w:rPr>
              <w:t>15</w:t>
            </w:r>
          </w:p>
        </w:tc>
        <w:tc>
          <w:tcPr>
            <w:tcW w:w="3680" w:type="pct"/>
            <w:tcBorders>
              <w:top w:val="single" w:color="auto" w:sz="4" w:space="0"/>
              <w:left w:val="single" w:color="auto" w:sz="4" w:space="0"/>
              <w:bottom w:val="single" w:color="auto" w:sz="4" w:space="0"/>
              <w:right w:val="single" w:color="auto" w:sz="4" w:space="0"/>
            </w:tcBorders>
            <w:shd w:val="clear" w:color="auto" w:fill="auto"/>
            <w:vAlign w:val="center"/>
          </w:tcPr>
          <w:p w14:paraId="0E5A83DE">
            <w:pPr>
              <w:spacing w:line="360" w:lineRule="auto"/>
              <w:jc w:val="both"/>
              <w:rPr>
                <w:rFonts w:hint="eastAsia"/>
                <w:color w:val="000000"/>
                <w:sz w:val="24"/>
                <w:szCs w:val="28"/>
              </w:rPr>
            </w:pPr>
            <w:r>
              <w:rPr>
                <w:rFonts w:hint="eastAsia"/>
                <w:color w:val="000000"/>
                <w:sz w:val="24"/>
                <w:szCs w:val="28"/>
                <w:lang w:val="en-US" w:eastAsia="zh-CN"/>
              </w:rPr>
              <w:t>1</w:t>
            </w:r>
            <w:r>
              <w:rPr>
                <w:rFonts w:hint="eastAsia"/>
                <w:color w:val="000000"/>
                <w:sz w:val="24"/>
                <w:szCs w:val="28"/>
              </w:rPr>
              <w:t>、数据加工（6分）</w:t>
            </w:r>
          </w:p>
          <w:p w14:paraId="16479E96">
            <w:pPr>
              <w:spacing w:line="360" w:lineRule="auto"/>
              <w:jc w:val="both"/>
              <w:rPr>
                <w:rFonts w:hint="eastAsia"/>
                <w:color w:val="000000"/>
                <w:sz w:val="24"/>
                <w:szCs w:val="28"/>
              </w:rPr>
            </w:pPr>
            <w:r>
              <w:rPr>
                <w:rFonts w:hint="eastAsia"/>
                <w:color w:val="000000"/>
                <w:sz w:val="24"/>
                <w:szCs w:val="28"/>
              </w:rPr>
              <w:t>（1）演示通过图形化灵活的操作方式实现结算清单与科室代码、疾病代码关联的数据加工流程，整个数据加工流程应至少包括多sheet页文件上传、联合、文件和数据库表关联、跨库关联、文字转换成id、显示隐藏字段、大小写转换、过滤、排序等操作，数据加工每一步操作都有对应节点进行记录，支持任意回退、重做操作，支持任意操作过程节点的数据能自动对应生成SQL语句，任意节点支持可视化修改操作。完全满足，得2分；部分满足得1分；未满足，得0分。</w:t>
            </w:r>
          </w:p>
          <w:p w14:paraId="591569F2">
            <w:pPr>
              <w:spacing w:line="360" w:lineRule="auto"/>
              <w:jc w:val="both"/>
              <w:rPr>
                <w:rFonts w:hint="eastAsia"/>
                <w:color w:val="000000"/>
                <w:sz w:val="24"/>
                <w:szCs w:val="28"/>
              </w:rPr>
            </w:pPr>
            <w:r>
              <w:rPr>
                <w:rFonts w:hint="eastAsia"/>
                <w:color w:val="000000"/>
                <w:sz w:val="24"/>
                <w:szCs w:val="28"/>
              </w:rPr>
              <w:t>（2）演示对上述数据加工结果数据按任意维度进行聚合操作，数据加工结果数据点击任意字段，可在加工流程图上查看该字段的加工路径。完全满足，得2分；部分满足得1分；未满足，得0分。</w:t>
            </w:r>
          </w:p>
          <w:p w14:paraId="5A2DAF96">
            <w:pPr>
              <w:spacing w:line="360" w:lineRule="auto"/>
              <w:jc w:val="both"/>
              <w:rPr>
                <w:rFonts w:hint="eastAsia"/>
                <w:color w:val="000000"/>
                <w:sz w:val="24"/>
                <w:szCs w:val="28"/>
              </w:rPr>
            </w:pPr>
            <w:r>
              <w:rPr>
                <w:rFonts w:hint="eastAsia"/>
                <w:color w:val="000000"/>
                <w:sz w:val="24"/>
                <w:szCs w:val="28"/>
              </w:rPr>
              <w:t>（3）模拟清单数据计划任务抽取，演示根据数据加工前后依赖关系，系统自动生成任务调度作业计划，生成的作业计划中应智能确定串行或并行作业顺序。完全满足，得2分；部分满足得1分；未满足，得0分。</w:t>
            </w:r>
          </w:p>
          <w:p w14:paraId="43A6D8C7">
            <w:pPr>
              <w:spacing w:line="360" w:lineRule="auto"/>
              <w:jc w:val="both"/>
              <w:rPr>
                <w:rFonts w:hint="eastAsia"/>
                <w:color w:val="000000"/>
                <w:sz w:val="24"/>
                <w:szCs w:val="28"/>
              </w:rPr>
            </w:pPr>
            <w:r>
              <w:rPr>
                <w:rFonts w:hint="eastAsia"/>
                <w:color w:val="000000"/>
                <w:sz w:val="24"/>
                <w:szCs w:val="28"/>
                <w:lang w:val="en-US" w:eastAsia="zh-CN"/>
              </w:rPr>
              <w:t>2</w:t>
            </w:r>
            <w:r>
              <w:rPr>
                <w:rFonts w:hint="eastAsia"/>
                <w:color w:val="000000"/>
                <w:sz w:val="24"/>
                <w:szCs w:val="28"/>
              </w:rPr>
              <w:t>、可视化统计图制作(5分)</w:t>
            </w:r>
          </w:p>
          <w:p w14:paraId="52F47EB6">
            <w:pPr>
              <w:spacing w:line="360" w:lineRule="auto"/>
              <w:jc w:val="both"/>
              <w:rPr>
                <w:rFonts w:hint="eastAsia"/>
                <w:color w:val="000000"/>
                <w:sz w:val="24"/>
                <w:szCs w:val="28"/>
              </w:rPr>
            </w:pPr>
            <w:r>
              <w:rPr>
                <w:rFonts w:hint="eastAsia"/>
                <w:color w:val="000000"/>
                <w:sz w:val="24"/>
                <w:szCs w:val="28"/>
              </w:rPr>
              <w:t>（1）通过灵活的可视化操作方式制作一张全院DIP总体情况的可视化图表，要求页面中包含柱状图、线状图、饼图、条形图等，支持数据交互功能。完全满足，得2分；部分满足得1分；未满足，得0分。</w:t>
            </w:r>
          </w:p>
          <w:p w14:paraId="5C9EBF40">
            <w:pPr>
              <w:spacing w:line="360" w:lineRule="auto"/>
              <w:jc w:val="both"/>
              <w:rPr>
                <w:rFonts w:hint="eastAsia"/>
                <w:color w:val="000000"/>
                <w:sz w:val="24"/>
                <w:szCs w:val="28"/>
              </w:rPr>
            </w:pPr>
            <w:r>
              <w:rPr>
                <w:rFonts w:hint="eastAsia"/>
                <w:color w:val="000000"/>
                <w:sz w:val="24"/>
                <w:szCs w:val="28"/>
              </w:rPr>
              <w:t>（2）将上述制作完成的可视化图表支持一建切换风格（至少支持两种不同的页面风格切换）、支持在不同浏览器窗口大小下自适应展示（图表、文字均能按比例缩放），完全满足，得2分；部分满足得1分；未满足，得0分。</w:t>
            </w:r>
          </w:p>
          <w:p w14:paraId="10129961">
            <w:pPr>
              <w:spacing w:line="360" w:lineRule="auto"/>
              <w:jc w:val="both"/>
              <w:rPr>
                <w:rFonts w:hint="eastAsia"/>
                <w:color w:val="000000"/>
                <w:sz w:val="24"/>
                <w:szCs w:val="28"/>
              </w:rPr>
            </w:pPr>
            <w:r>
              <w:rPr>
                <w:rFonts w:hint="eastAsia"/>
                <w:color w:val="000000"/>
                <w:sz w:val="24"/>
                <w:szCs w:val="28"/>
              </w:rPr>
              <w:t>支持一键无失真导出成非图片格式PPT，导出的PPT可以继续编辑（可移动文字位置、修改文字内容、调整图形颜色、编辑数据等）。完全满足，得1分；未满足，得0分。</w:t>
            </w:r>
          </w:p>
          <w:p w14:paraId="758B3E7E">
            <w:pPr>
              <w:spacing w:line="360" w:lineRule="auto"/>
              <w:jc w:val="both"/>
              <w:rPr>
                <w:rFonts w:hint="eastAsia"/>
                <w:color w:val="000000"/>
                <w:sz w:val="24"/>
                <w:szCs w:val="28"/>
              </w:rPr>
            </w:pPr>
            <w:r>
              <w:rPr>
                <w:rFonts w:hint="eastAsia"/>
                <w:color w:val="000000"/>
                <w:sz w:val="24"/>
                <w:szCs w:val="28"/>
                <w:lang w:val="en-US" w:eastAsia="zh-CN"/>
              </w:rPr>
              <w:t>3</w:t>
            </w:r>
            <w:r>
              <w:rPr>
                <w:rFonts w:hint="eastAsia"/>
                <w:color w:val="000000"/>
                <w:sz w:val="24"/>
                <w:szCs w:val="28"/>
              </w:rPr>
              <w:t>、统计表制作演示(4分)</w:t>
            </w:r>
          </w:p>
          <w:p w14:paraId="281134DA">
            <w:pPr>
              <w:spacing w:line="360" w:lineRule="auto"/>
              <w:jc w:val="both"/>
              <w:rPr>
                <w:rFonts w:hint="eastAsia"/>
                <w:color w:val="000000"/>
                <w:sz w:val="24"/>
                <w:szCs w:val="28"/>
              </w:rPr>
            </w:pPr>
            <w:r>
              <w:rPr>
                <w:rFonts w:hint="eastAsia"/>
                <w:color w:val="000000"/>
                <w:sz w:val="24"/>
                <w:szCs w:val="28"/>
              </w:rPr>
              <w:t>（1）展示DIP明细盈亏分析表，要求行数超过30，列数超过15，列指标包括DIP病组、标准分值、结算分值、倍率值、住院天数、总费用、DIP总费用、超支结余、药占比、耗占比等。要求列头支持双斜线表头，并能在线编辑表样，进行增删行列操作，同时能增加计算公式，包括加减乘除运算。完全满足，得2分；部分满足得1分；未满足，得0分。</w:t>
            </w:r>
          </w:p>
          <w:p w14:paraId="06B65620">
            <w:pPr>
              <w:spacing w:line="360" w:lineRule="auto"/>
              <w:jc w:val="both"/>
              <w:rPr>
                <w:color w:val="000000"/>
                <w:sz w:val="24"/>
                <w:szCs w:val="28"/>
              </w:rPr>
            </w:pPr>
            <w:r>
              <w:rPr>
                <w:rFonts w:hint="eastAsia"/>
                <w:color w:val="000000"/>
                <w:sz w:val="24"/>
                <w:szCs w:val="28"/>
              </w:rPr>
              <w:t>（2）在线编辑后支持立即计算报表。计算结果页面能选择一个单元格，能够类似像Excel那样冻结该单元格上方的行、左边的列，并且能够演示无卡顿上下左右滚动的冻结行列效果；计算结果要求能够无失真导出成Excel。完全满足，得2分；部分满足得1分；未满足，得0分。</w:t>
            </w:r>
          </w:p>
        </w:tc>
      </w:tr>
      <w:tr w14:paraId="5D21A365">
        <w:tblPrEx>
          <w:tblCellMar>
            <w:top w:w="0" w:type="dxa"/>
            <w:left w:w="108" w:type="dxa"/>
            <w:bottom w:w="0" w:type="dxa"/>
            <w:right w:w="108" w:type="dxa"/>
          </w:tblCellMar>
        </w:tblPrEx>
        <w:trPr>
          <w:trHeight w:val="1300" w:hRule="atLeast"/>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34FD7E20">
            <w:pPr>
              <w:spacing w:line="360" w:lineRule="auto"/>
              <w:jc w:val="center"/>
              <w:rPr>
                <w:color w:val="000000"/>
                <w:sz w:val="24"/>
                <w:szCs w:val="28"/>
              </w:rPr>
            </w:pPr>
            <w:r>
              <w:rPr>
                <w:rFonts w:hint="eastAsia"/>
                <w:color w:val="000000"/>
                <w:sz w:val="24"/>
                <w:szCs w:val="28"/>
              </w:rPr>
              <w:t>项目实施方案</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4516A0D7">
            <w:pPr>
              <w:spacing w:line="360" w:lineRule="auto"/>
              <w:jc w:val="center"/>
              <w:rPr>
                <w:color w:val="000000"/>
                <w:sz w:val="24"/>
                <w:szCs w:val="28"/>
              </w:rPr>
            </w:pPr>
            <w:r>
              <w:rPr>
                <w:rFonts w:hint="eastAsia"/>
                <w:color w:val="000000"/>
                <w:sz w:val="24"/>
                <w:szCs w:val="28"/>
              </w:rPr>
              <w:t>3</w:t>
            </w:r>
          </w:p>
        </w:tc>
        <w:tc>
          <w:tcPr>
            <w:tcW w:w="3680" w:type="pct"/>
            <w:tcBorders>
              <w:top w:val="single" w:color="auto" w:sz="4" w:space="0"/>
              <w:left w:val="single" w:color="auto" w:sz="4" w:space="0"/>
              <w:bottom w:val="single" w:color="auto" w:sz="4" w:space="0"/>
              <w:right w:val="single" w:color="auto" w:sz="4" w:space="0"/>
            </w:tcBorders>
            <w:shd w:val="clear" w:color="auto" w:fill="auto"/>
            <w:vAlign w:val="center"/>
          </w:tcPr>
          <w:p w14:paraId="7322FF62">
            <w:pPr>
              <w:spacing w:line="360" w:lineRule="auto"/>
              <w:jc w:val="both"/>
              <w:rPr>
                <w:color w:val="000000"/>
                <w:sz w:val="24"/>
                <w:szCs w:val="28"/>
              </w:rPr>
            </w:pPr>
            <w:r>
              <w:rPr>
                <w:rFonts w:hint="eastAsia"/>
                <w:color w:val="000000"/>
                <w:sz w:val="24"/>
                <w:szCs w:val="28"/>
              </w:rPr>
              <w:t>根据投标人提供的项目实施计划进行综合打分，包括但不限于具有详细的项目进度计划安排、人员配置等。方案内容全面详实，完全符合项目实际需求，可执行性强，得3分；方案不够全面，不完全满足项目实际需求，得2分；方案内容的不科学或不合理，得1分；未提供不得分。</w:t>
            </w:r>
          </w:p>
        </w:tc>
      </w:tr>
      <w:tr w14:paraId="4053DABA">
        <w:tblPrEx>
          <w:tblCellMar>
            <w:top w:w="0" w:type="dxa"/>
            <w:left w:w="108" w:type="dxa"/>
            <w:bottom w:w="0" w:type="dxa"/>
            <w:right w:w="108" w:type="dxa"/>
          </w:tblCellMar>
        </w:tblPrEx>
        <w:trPr>
          <w:trHeight w:val="1300" w:hRule="atLeast"/>
        </w:trPr>
        <w:tc>
          <w:tcPr>
            <w:tcW w:w="747" w:type="pct"/>
            <w:tcBorders>
              <w:top w:val="single" w:color="auto" w:sz="4" w:space="0"/>
              <w:left w:val="single" w:color="auto" w:sz="8" w:space="0"/>
              <w:bottom w:val="single" w:color="auto" w:sz="8" w:space="0"/>
              <w:right w:val="single" w:color="auto" w:sz="8" w:space="0"/>
            </w:tcBorders>
            <w:shd w:val="clear" w:color="auto" w:fill="auto"/>
            <w:vAlign w:val="center"/>
          </w:tcPr>
          <w:p w14:paraId="4B32BDE6">
            <w:pPr>
              <w:spacing w:line="360" w:lineRule="auto"/>
              <w:jc w:val="center"/>
              <w:rPr>
                <w:color w:val="000000"/>
                <w:sz w:val="24"/>
                <w:szCs w:val="28"/>
              </w:rPr>
            </w:pPr>
            <w:r>
              <w:rPr>
                <w:rFonts w:hint="eastAsia"/>
                <w:color w:val="000000"/>
                <w:sz w:val="24"/>
                <w:szCs w:val="28"/>
              </w:rPr>
              <w:t>培训方案</w:t>
            </w:r>
          </w:p>
        </w:tc>
        <w:tc>
          <w:tcPr>
            <w:tcW w:w="573" w:type="pct"/>
            <w:tcBorders>
              <w:top w:val="single" w:color="auto" w:sz="4" w:space="0"/>
              <w:left w:val="nil"/>
              <w:bottom w:val="single" w:color="auto" w:sz="8" w:space="0"/>
              <w:right w:val="single" w:color="auto" w:sz="8" w:space="0"/>
            </w:tcBorders>
            <w:shd w:val="clear" w:color="auto" w:fill="auto"/>
            <w:vAlign w:val="center"/>
          </w:tcPr>
          <w:p w14:paraId="671CC4F3">
            <w:pPr>
              <w:spacing w:line="360" w:lineRule="auto"/>
              <w:jc w:val="center"/>
              <w:rPr>
                <w:color w:val="000000"/>
                <w:sz w:val="24"/>
                <w:szCs w:val="28"/>
              </w:rPr>
            </w:pPr>
            <w:r>
              <w:rPr>
                <w:rFonts w:hint="eastAsia"/>
                <w:color w:val="000000"/>
                <w:sz w:val="24"/>
                <w:szCs w:val="28"/>
              </w:rPr>
              <w:t>3</w:t>
            </w:r>
          </w:p>
        </w:tc>
        <w:tc>
          <w:tcPr>
            <w:tcW w:w="3680" w:type="pct"/>
            <w:tcBorders>
              <w:top w:val="single" w:color="auto" w:sz="4" w:space="0"/>
              <w:left w:val="nil"/>
              <w:bottom w:val="single" w:color="auto" w:sz="8" w:space="0"/>
              <w:right w:val="single" w:color="auto" w:sz="8" w:space="0"/>
            </w:tcBorders>
            <w:shd w:val="clear" w:color="auto" w:fill="auto"/>
            <w:vAlign w:val="center"/>
          </w:tcPr>
          <w:p w14:paraId="2FB7F0EE">
            <w:pPr>
              <w:spacing w:line="360" w:lineRule="auto"/>
              <w:jc w:val="both"/>
              <w:rPr>
                <w:color w:val="000000"/>
                <w:sz w:val="24"/>
                <w:szCs w:val="28"/>
              </w:rPr>
            </w:pPr>
            <w:r>
              <w:rPr>
                <w:rFonts w:hint="eastAsia"/>
                <w:color w:val="000000"/>
                <w:sz w:val="24"/>
                <w:szCs w:val="28"/>
              </w:rPr>
              <w:t>根据投标人提供的项目培训计划进行综合打分，包括但不限于具有详细的项目培训方式、培训方案等。方案内容全面详实，完全符合项目实际需求，可执行性强，得3分；方案不够全面，不完全满足项目实际需求，得2分；方案内容的不科学或不合理，得1分；未提供不得分。</w:t>
            </w:r>
          </w:p>
        </w:tc>
      </w:tr>
      <w:tr w14:paraId="354FC02C">
        <w:tblPrEx>
          <w:tblCellMar>
            <w:top w:w="0" w:type="dxa"/>
            <w:left w:w="108" w:type="dxa"/>
            <w:bottom w:w="0" w:type="dxa"/>
            <w:right w:w="108" w:type="dxa"/>
          </w:tblCellMar>
        </w:tblPrEx>
        <w:trPr>
          <w:trHeight w:val="336" w:hRule="atLeast"/>
        </w:trPr>
        <w:tc>
          <w:tcPr>
            <w:tcW w:w="747" w:type="pct"/>
            <w:tcBorders>
              <w:top w:val="nil"/>
              <w:left w:val="single" w:color="auto" w:sz="8" w:space="0"/>
              <w:bottom w:val="nil"/>
              <w:right w:val="single" w:color="auto" w:sz="8" w:space="0"/>
            </w:tcBorders>
            <w:shd w:val="clear" w:color="auto" w:fill="auto"/>
            <w:vAlign w:val="center"/>
          </w:tcPr>
          <w:p w14:paraId="2FA287B2">
            <w:pPr>
              <w:spacing w:line="360" w:lineRule="auto"/>
              <w:jc w:val="center"/>
              <w:rPr>
                <w:color w:val="000000"/>
                <w:sz w:val="24"/>
                <w:szCs w:val="28"/>
              </w:rPr>
            </w:pPr>
            <w:r>
              <w:rPr>
                <w:rFonts w:hint="eastAsia"/>
                <w:color w:val="000000"/>
                <w:sz w:val="24"/>
                <w:szCs w:val="28"/>
              </w:rPr>
              <w:t>售后服务方案</w:t>
            </w:r>
          </w:p>
        </w:tc>
        <w:tc>
          <w:tcPr>
            <w:tcW w:w="573" w:type="pct"/>
            <w:tcBorders>
              <w:top w:val="nil"/>
              <w:left w:val="nil"/>
              <w:bottom w:val="nil"/>
              <w:right w:val="single" w:color="auto" w:sz="8" w:space="0"/>
            </w:tcBorders>
            <w:shd w:val="clear" w:color="auto" w:fill="auto"/>
            <w:vAlign w:val="center"/>
          </w:tcPr>
          <w:p w14:paraId="443F9359">
            <w:pPr>
              <w:spacing w:line="360" w:lineRule="auto"/>
              <w:jc w:val="center"/>
              <w:rPr>
                <w:color w:val="000000"/>
                <w:sz w:val="24"/>
                <w:szCs w:val="28"/>
              </w:rPr>
            </w:pPr>
            <w:r>
              <w:rPr>
                <w:rFonts w:hint="eastAsia"/>
                <w:color w:val="000000"/>
                <w:sz w:val="24"/>
                <w:szCs w:val="28"/>
              </w:rPr>
              <w:t>3</w:t>
            </w:r>
          </w:p>
        </w:tc>
        <w:tc>
          <w:tcPr>
            <w:tcW w:w="3680" w:type="pct"/>
            <w:tcBorders>
              <w:top w:val="nil"/>
              <w:left w:val="nil"/>
              <w:bottom w:val="single" w:color="auto" w:sz="8" w:space="0"/>
              <w:right w:val="single" w:color="auto" w:sz="8" w:space="0"/>
            </w:tcBorders>
            <w:shd w:val="clear" w:color="auto" w:fill="auto"/>
            <w:vAlign w:val="center"/>
          </w:tcPr>
          <w:p w14:paraId="39448B78">
            <w:pPr>
              <w:spacing w:line="360" w:lineRule="auto"/>
              <w:jc w:val="both"/>
              <w:rPr>
                <w:color w:val="000000"/>
                <w:sz w:val="24"/>
                <w:szCs w:val="28"/>
              </w:rPr>
            </w:pPr>
            <w:r>
              <w:rPr>
                <w:rFonts w:hint="eastAsia"/>
                <w:color w:val="000000"/>
                <w:sz w:val="24"/>
                <w:szCs w:val="28"/>
              </w:rPr>
              <w:t>根据投标人提供的项目售后服务方案进行综合打分，包括但不限于具有详细的项目服务方式、服务时间等。方案内容全面详实，完全符合项目实际需求，可执行性强，得3分；方案不够全面，不完全满足项目实际需求，得2分；方案内容的不科学或不合理，得1分；未提供不得分。</w:t>
            </w:r>
          </w:p>
        </w:tc>
      </w:tr>
      <w:tr w14:paraId="3F3593C3">
        <w:tblPrEx>
          <w:tblCellMar>
            <w:top w:w="0" w:type="dxa"/>
            <w:left w:w="108" w:type="dxa"/>
            <w:bottom w:w="0" w:type="dxa"/>
            <w:right w:w="108" w:type="dxa"/>
          </w:tblCellMar>
        </w:tblPrEx>
        <w:trPr>
          <w:trHeight w:val="340" w:hRule="atLeast"/>
        </w:trPr>
        <w:tc>
          <w:tcPr>
            <w:tcW w:w="50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3F8808E8">
            <w:pPr>
              <w:spacing w:line="360" w:lineRule="auto"/>
              <w:rPr>
                <w:b/>
                <w:bCs/>
                <w:color w:val="000000"/>
                <w:sz w:val="24"/>
                <w:szCs w:val="28"/>
              </w:rPr>
            </w:pPr>
            <w:r>
              <w:rPr>
                <w:rFonts w:hint="eastAsia"/>
                <w:b/>
                <w:bCs/>
                <w:color w:val="000000"/>
                <w:sz w:val="24"/>
                <w:szCs w:val="28"/>
              </w:rPr>
              <w:t>三、商务部分（30分）</w:t>
            </w:r>
          </w:p>
        </w:tc>
      </w:tr>
      <w:tr w14:paraId="568DB6DD">
        <w:tblPrEx>
          <w:tblCellMar>
            <w:top w:w="0" w:type="dxa"/>
            <w:left w:w="108" w:type="dxa"/>
            <w:bottom w:w="0" w:type="dxa"/>
            <w:right w:w="108" w:type="dxa"/>
          </w:tblCellMar>
        </w:tblPrEx>
        <w:trPr>
          <w:trHeight w:val="1300" w:hRule="atLeast"/>
        </w:trPr>
        <w:tc>
          <w:tcPr>
            <w:tcW w:w="747" w:type="pct"/>
            <w:vMerge w:val="restart"/>
            <w:tcBorders>
              <w:top w:val="nil"/>
              <w:left w:val="single" w:color="auto" w:sz="8" w:space="0"/>
              <w:bottom w:val="single" w:color="000000" w:sz="8" w:space="0"/>
              <w:right w:val="single" w:color="auto" w:sz="8" w:space="0"/>
            </w:tcBorders>
            <w:shd w:val="clear" w:color="auto" w:fill="auto"/>
            <w:vAlign w:val="center"/>
          </w:tcPr>
          <w:p w14:paraId="04330F5A">
            <w:pPr>
              <w:spacing w:line="360" w:lineRule="auto"/>
              <w:jc w:val="center"/>
              <w:rPr>
                <w:color w:val="000000"/>
                <w:sz w:val="24"/>
                <w:szCs w:val="28"/>
              </w:rPr>
            </w:pPr>
            <w:r>
              <w:rPr>
                <w:rFonts w:hint="eastAsia"/>
                <w:color w:val="000000"/>
                <w:sz w:val="24"/>
                <w:szCs w:val="28"/>
              </w:rPr>
              <w:t>企业实力</w:t>
            </w:r>
          </w:p>
        </w:tc>
        <w:tc>
          <w:tcPr>
            <w:tcW w:w="573" w:type="pct"/>
            <w:tcBorders>
              <w:top w:val="nil"/>
              <w:left w:val="nil"/>
              <w:bottom w:val="single" w:color="auto" w:sz="8" w:space="0"/>
              <w:right w:val="single" w:color="auto" w:sz="8" w:space="0"/>
            </w:tcBorders>
            <w:shd w:val="clear" w:color="auto" w:fill="auto"/>
            <w:vAlign w:val="center"/>
          </w:tcPr>
          <w:p w14:paraId="76ED33B0">
            <w:pPr>
              <w:spacing w:line="360" w:lineRule="auto"/>
              <w:jc w:val="center"/>
              <w:rPr>
                <w:rFonts w:hint="default" w:eastAsia="宋体"/>
                <w:color w:val="000000"/>
                <w:sz w:val="24"/>
                <w:szCs w:val="28"/>
                <w:lang w:val="en-US" w:eastAsia="zh-CN"/>
              </w:rPr>
            </w:pPr>
            <w:del w:id="13" w:author="方头大狮子" w:date="2025-02-17T16:02:46Z">
              <w:r>
                <w:rPr>
                  <w:rFonts w:hint="default"/>
                  <w:color w:val="000000"/>
                  <w:sz w:val="24"/>
                  <w:szCs w:val="28"/>
                  <w:lang w:val="en-US"/>
                </w:rPr>
                <w:delText>10</w:delText>
              </w:r>
            </w:del>
            <w:ins w:id="14" w:author="方头大狮子" w:date="2025-02-17T16:02:46Z">
              <w:r>
                <w:rPr>
                  <w:rFonts w:hint="eastAsia"/>
                  <w:color w:val="000000"/>
                  <w:sz w:val="24"/>
                  <w:szCs w:val="28"/>
                  <w:lang w:val="en-US" w:eastAsia="zh-CN"/>
                </w:rPr>
                <w:t>1</w:t>
              </w:r>
            </w:ins>
            <w:ins w:id="15" w:author="方头大狮子" w:date="2025-02-17T16:16:18Z">
              <w:r>
                <w:rPr>
                  <w:rFonts w:hint="eastAsia"/>
                  <w:color w:val="000000"/>
                  <w:sz w:val="24"/>
                  <w:szCs w:val="28"/>
                  <w:lang w:val="en-US" w:eastAsia="zh-CN"/>
                </w:rPr>
                <w:t>0</w:t>
              </w:r>
            </w:ins>
          </w:p>
        </w:tc>
        <w:tc>
          <w:tcPr>
            <w:tcW w:w="3680" w:type="pct"/>
            <w:tcBorders>
              <w:top w:val="nil"/>
              <w:left w:val="nil"/>
              <w:bottom w:val="single" w:color="auto" w:sz="8" w:space="0"/>
              <w:right w:val="single" w:color="auto" w:sz="8" w:space="0"/>
            </w:tcBorders>
            <w:shd w:val="clear" w:color="auto" w:fill="auto"/>
            <w:vAlign w:val="center"/>
          </w:tcPr>
          <w:p w14:paraId="57787220">
            <w:pPr>
              <w:spacing w:line="360" w:lineRule="auto"/>
              <w:jc w:val="both"/>
              <w:rPr>
                <w:color w:val="000000"/>
                <w:sz w:val="24"/>
                <w:szCs w:val="28"/>
              </w:rPr>
            </w:pPr>
            <w:r>
              <w:rPr>
                <w:rFonts w:hint="eastAsia"/>
                <w:color w:val="000000"/>
                <w:sz w:val="24"/>
                <w:szCs w:val="28"/>
              </w:rPr>
              <w:t>1、软件著作权证书（1</w:t>
            </w:r>
            <w:del w:id="16" w:author="方头大狮子" w:date="2025-02-17T16:16:22Z">
              <w:r>
                <w:rPr>
                  <w:rFonts w:hint="default"/>
                  <w:color w:val="000000"/>
                  <w:sz w:val="24"/>
                  <w:szCs w:val="28"/>
                  <w:lang w:val="en-US"/>
                </w:rPr>
                <w:delText>0</w:delText>
              </w:r>
            </w:del>
            <w:ins w:id="17" w:author="方头大狮子" w:date="2025-02-17T16:16:22Z">
              <w:r>
                <w:rPr>
                  <w:rFonts w:hint="eastAsia"/>
                  <w:color w:val="000000"/>
                  <w:sz w:val="24"/>
                  <w:szCs w:val="28"/>
                  <w:lang w:val="en-US" w:eastAsia="zh-CN"/>
                </w:rPr>
                <w:t>0</w:t>
              </w:r>
            </w:ins>
            <w:r>
              <w:rPr>
                <w:rFonts w:hint="eastAsia"/>
                <w:color w:val="000000"/>
                <w:sz w:val="24"/>
                <w:szCs w:val="28"/>
              </w:rPr>
              <w:t>分）：能提供DIP全流程提质控费，病案管理，基于DRG的医保智能审核，病案信息填报，基于DRG的医保付费系统等领域的计算机软件著作权登记证书，每提供一个得</w:t>
            </w:r>
            <w:del w:id="18" w:author="方头大狮子" w:date="2025-02-17T16:16:25Z">
              <w:r>
                <w:rPr>
                  <w:rFonts w:hint="default"/>
                  <w:color w:val="000000"/>
                  <w:sz w:val="24"/>
                  <w:szCs w:val="28"/>
                  <w:lang w:val="en-US"/>
                </w:rPr>
                <w:delText>2</w:delText>
              </w:r>
            </w:del>
            <w:ins w:id="19" w:author="方头大狮子" w:date="2025-02-17T16:16:25Z">
              <w:r>
                <w:rPr>
                  <w:rFonts w:hint="eastAsia"/>
                  <w:color w:val="000000"/>
                  <w:sz w:val="24"/>
                  <w:szCs w:val="28"/>
                  <w:lang w:val="en-US" w:eastAsia="zh-CN"/>
                </w:rPr>
                <w:t>2</w:t>
              </w:r>
            </w:ins>
            <w:r>
              <w:rPr>
                <w:rFonts w:hint="eastAsia"/>
                <w:color w:val="000000"/>
                <w:sz w:val="24"/>
                <w:szCs w:val="28"/>
              </w:rPr>
              <w:t>分，满分1</w:t>
            </w:r>
            <w:del w:id="20" w:author="方头大狮子" w:date="2025-02-17T16:16:29Z">
              <w:r>
                <w:rPr>
                  <w:rFonts w:hint="default"/>
                  <w:color w:val="000000"/>
                  <w:sz w:val="24"/>
                  <w:szCs w:val="28"/>
                  <w:lang w:val="en-US"/>
                </w:rPr>
                <w:delText>0</w:delText>
              </w:r>
            </w:del>
            <w:ins w:id="21" w:author="方头大狮子" w:date="2025-02-17T16:16:29Z">
              <w:r>
                <w:rPr>
                  <w:rFonts w:hint="eastAsia"/>
                  <w:color w:val="000000"/>
                  <w:sz w:val="24"/>
                  <w:szCs w:val="28"/>
                  <w:lang w:val="en-US" w:eastAsia="zh-CN"/>
                </w:rPr>
                <w:t>0</w:t>
              </w:r>
            </w:ins>
            <w:r>
              <w:rPr>
                <w:rFonts w:hint="eastAsia"/>
                <w:color w:val="000000"/>
                <w:sz w:val="24"/>
                <w:szCs w:val="28"/>
              </w:rPr>
              <w:t>分。注：须提供证书复印件并加盖公章，未按要求提供不得分。</w:t>
            </w:r>
          </w:p>
        </w:tc>
      </w:tr>
      <w:tr w14:paraId="0837E65E">
        <w:tblPrEx>
          <w:tblCellMar>
            <w:top w:w="0" w:type="dxa"/>
            <w:left w:w="108" w:type="dxa"/>
            <w:bottom w:w="0" w:type="dxa"/>
            <w:right w:w="108" w:type="dxa"/>
          </w:tblCellMar>
        </w:tblPrEx>
        <w:trPr>
          <w:trHeight w:val="1620" w:hRule="atLeast"/>
        </w:trPr>
        <w:tc>
          <w:tcPr>
            <w:tcW w:w="747" w:type="pct"/>
            <w:vMerge w:val="continue"/>
            <w:tcBorders>
              <w:top w:val="nil"/>
              <w:left w:val="single" w:color="auto" w:sz="8" w:space="0"/>
              <w:bottom w:val="single" w:color="000000" w:sz="8" w:space="0"/>
              <w:right w:val="single" w:color="auto" w:sz="8" w:space="0"/>
            </w:tcBorders>
            <w:vAlign w:val="center"/>
          </w:tcPr>
          <w:p w14:paraId="2668065F">
            <w:pPr>
              <w:spacing w:line="360" w:lineRule="auto"/>
              <w:rPr>
                <w:color w:val="000000"/>
                <w:sz w:val="24"/>
                <w:szCs w:val="28"/>
              </w:rPr>
            </w:pPr>
          </w:p>
        </w:tc>
        <w:tc>
          <w:tcPr>
            <w:tcW w:w="573" w:type="pct"/>
            <w:tcBorders>
              <w:top w:val="nil"/>
              <w:left w:val="nil"/>
              <w:bottom w:val="single" w:color="auto" w:sz="8" w:space="0"/>
              <w:right w:val="single" w:color="auto" w:sz="8" w:space="0"/>
            </w:tcBorders>
            <w:shd w:val="clear" w:color="auto" w:fill="auto"/>
            <w:vAlign w:val="center"/>
          </w:tcPr>
          <w:p w14:paraId="0B533AAC">
            <w:pPr>
              <w:spacing w:line="360" w:lineRule="auto"/>
              <w:jc w:val="center"/>
              <w:rPr>
                <w:rFonts w:hint="eastAsia" w:eastAsia="宋体"/>
                <w:color w:val="000000"/>
                <w:sz w:val="24"/>
                <w:szCs w:val="28"/>
                <w:lang w:eastAsia="zh-CN"/>
              </w:rPr>
            </w:pPr>
            <w:del w:id="22" w:author="方头大狮子" w:date="2025-02-17T16:02:41Z">
              <w:r>
                <w:rPr>
                  <w:rFonts w:hint="default"/>
                  <w:color w:val="000000"/>
                  <w:sz w:val="24"/>
                  <w:szCs w:val="28"/>
                  <w:lang w:val="en-US"/>
                </w:rPr>
                <w:delText>10</w:delText>
              </w:r>
            </w:del>
            <w:ins w:id="23" w:author="方头大狮子" w:date="2025-02-17T16:02:41Z">
              <w:r>
                <w:rPr>
                  <w:rFonts w:hint="eastAsia"/>
                  <w:color w:val="000000"/>
                  <w:sz w:val="24"/>
                  <w:szCs w:val="28"/>
                  <w:lang w:val="en-US" w:eastAsia="zh-CN"/>
                </w:rPr>
                <w:t>5</w:t>
              </w:r>
            </w:ins>
          </w:p>
        </w:tc>
        <w:tc>
          <w:tcPr>
            <w:tcW w:w="3680" w:type="pct"/>
            <w:tcBorders>
              <w:top w:val="nil"/>
              <w:left w:val="nil"/>
              <w:bottom w:val="single" w:color="auto" w:sz="8" w:space="0"/>
              <w:right w:val="single" w:color="auto" w:sz="8" w:space="0"/>
            </w:tcBorders>
            <w:shd w:val="clear" w:color="auto" w:fill="auto"/>
            <w:vAlign w:val="center"/>
          </w:tcPr>
          <w:p w14:paraId="3C98F045">
            <w:pPr>
              <w:spacing w:line="360" w:lineRule="auto"/>
              <w:jc w:val="both"/>
              <w:rPr>
                <w:color w:val="000000"/>
                <w:sz w:val="24"/>
                <w:szCs w:val="28"/>
              </w:rPr>
            </w:pPr>
            <w:r>
              <w:rPr>
                <w:rFonts w:hint="eastAsia"/>
                <w:color w:val="000000"/>
                <w:sz w:val="24"/>
                <w:szCs w:val="28"/>
              </w:rPr>
              <w:t>2、企业资质（</w:t>
            </w:r>
            <w:del w:id="24" w:author="方头大狮子" w:date="2025-02-17T16:03:17Z">
              <w:r>
                <w:rPr>
                  <w:rFonts w:hint="default"/>
                  <w:color w:val="000000"/>
                  <w:sz w:val="24"/>
                  <w:szCs w:val="28"/>
                  <w:lang w:val="en-US"/>
                </w:rPr>
                <w:delText>10</w:delText>
              </w:r>
            </w:del>
            <w:ins w:id="25" w:author="方头大狮子" w:date="2025-02-17T16:03:17Z">
              <w:r>
                <w:rPr>
                  <w:rFonts w:hint="eastAsia"/>
                  <w:color w:val="000000"/>
                  <w:sz w:val="24"/>
                  <w:szCs w:val="28"/>
                  <w:lang w:val="en-US" w:eastAsia="zh-CN"/>
                </w:rPr>
                <w:t>5</w:t>
              </w:r>
            </w:ins>
            <w:r>
              <w:rPr>
                <w:rFonts w:hint="eastAsia"/>
                <w:color w:val="000000"/>
                <w:sz w:val="24"/>
                <w:szCs w:val="28"/>
              </w:rPr>
              <w:t>分）：具有</w:t>
            </w:r>
            <w:r>
              <w:rPr>
                <w:color w:val="000000"/>
                <w:sz w:val="24"/>
                <w:szCs w:val="28"/>
              </w:rPr>
              <w:t>ISO27001信息安全管理体系认证</w:t>
            </w:r>
            <w:r>
              <w:rPr>
                <w:rFonts w:hint="eastAsia"/>
                <w:color w:val="000000"/>
                <w:sz w:val="24"/>
                <w:szCs w:val="28"/>
              </w:rPr>
              <w:t>，ISO27040数据存储安全管理体系认证证书</w:t>
            </w:r>
            <w:r>
              <w:commentReference w:id="1"/>
            </w:r>
            <w:r>
              <w:rPr>
                <w:rFonts w:hint="eastAsia"/>
                <w:color w:val="000000"/>
                <w:sz w:val="24"/>
                <w:szCs w:val="28"/>
              </w:rPr>
              <w:t>，ISO38505数据治理符合性评价证书</w:t>
            </w:r>
            <w:r>
              <w:commentReference w:id="2"/>
            </w:r>
            <w:r>
              <w:rPr>
                <w:rFonts w:hint="eastAsia"/>
                <w:color w:val="000000"/>
                <w:sz w:val="24"/>
                <w:szCs w:val="28"/>
              </w:rPr>
              <w:t>，ISO27701隐私信息安全管理体系认证，ISO22301 业务连续性管理体系认证的的</w:t>
            </w:r>
            <w:r>
              <w:commentReference w:id="3"/>
            </w:r>
            <w:r>
              <w:rPr>
                <w:rFonts w:hint="eastAsia"/>
                <w:color w:val="000000"/>
                <w:sz w:val="24"/>
                <w:szCs w:val="28"/>
              </w:rPr>
              <w:t>，每提供1项得</w:t>
            </w:r>
            <w:del w:id="26" w:author="方头大狮子" w:date="2025-02-17T16:02:36Z">
              <w:r>
                <w:rPr>
                  <w:rFonts w:hint="default"/>
                  <w:color w:val="000000"/>
                  <w:sz w:val="24"/>
                  <w:szCs w:val="28"/>
                  <w:lang w:val="en-US"/>
                </w:rPr>
                <w:delText>2</w:delText>
              </w:r>
            </w:del>
            <w:ins w:id="27" w:author="方头大狮子" w:date="2025-02-17T16:02:36Z">
              <w:r>
                <w:rPr>
                  <w:rFonts w:hint="eastAsia"/>
                  <w:color w:val="000000"/>
                  <w:sz w:val="24"/>
                  <w:szCs w:val="28"/>
                  <w:lang w:val="en-US" w:eastAsia="zh-CN"/>
                </w:rPr>
                <w:t>1</w:t>
              </w:r>
            </w:ins>
            <w:r>
              <w:rPr>
                <w:rFonts w:hint="eastAsia"/>
                <w:color w:val="000000"/>
                <w:sz w:val="24"/>
                <w:szCs w:val="28"/>
              </w:rPr>
              <w:t>分，此项最高</w:t>
            </w:r>
            <w:del w:id="28" w:author="方头大狮子" w:date="2025-02-17T16:02:33Z">
              <w:r>
                <w:rPr>
                  <w:rFonts w:hint="default"/>
                  <w:color w:val="000000"/>
                  <w:sz w:val="24"/>
                  <w:szCs w:val="28"/>
                  <w:lang w:val="en-US"/>
                </w:rPr>
                <w:delText>10</w:delText>
              </w:r>
            </w:del>
            <w:ins w:id="29" w:author="方头大狮子" w:date="2025-02-17T16:02:33Z">
              <w:r>
                <w:rPr>
                  <w:rFonts w:hint="eastAsia"/>
                  <w:color w:val="000000"/>
                  <w:sz w:val="24"/>
                  <w:szCs w:val="28"/>
                  <w:lang w:val="en-US" w:eastAsia="zh-CN"/>
                </w:rPr>
                <w:t>5</w:t>
              </w:r>
            </w:ins>
            <w:r>
              <w:rPr>
                <w:rFonts w:hint="eastAsia"/>
                <w:color w:val="000000"/>
                <w:sz w:val="24"/>
                <w:szCs w:val="28"/>
              </w:rPr>
              <w:t>分。注：需提供上述有效期内的认证证书复印件，未提供或证书内容不符合要求者不得分。</w:t>
            </w:r>
          </w:p>
        </w:tc>
      </w:tr>
      <w:tr w14:paraId="4BDF49E6">
        <w:tblPrEx>
          <w:tblCellMar>
            <w:top w:w="0" w:type="dxa"/>
            <w:left w:w="108" w:type="dxa"/>
            <w:bottom w:w="0" w:type="dxa"/>
            <w:right w:w="108" w:type="dxa"/>
          </w:tblCellMar>
        </w:tblPrEx>
        <w:trPr>
          <w:trHeight w:val="980" w:hRule="atLeast"/>
        </w:trPr>
        <w:tc>
          <w:tcPr>
            <w:tcW w:w="747" w:type="pct"/>
            <w:vMerge w:val="restart"/>
            <w:tcBorders>
              <w:top w:val="nil"/>
              <w:left w:val="single" w:color="auto" w:sz="8" w:space="0"/>
              <w:bottom w:val="single" w:color="000000" w:sz="8" w:space="0"/>
              <w:right w:val="single" w:color="auto" w:sz="8" w:space="0"/>
            </w:tcBorders>
            <w:shd w:val="clear" w:color="auto" w:fill="auto"/>
            <w:vAlign w:val="center"/>
          </w:tcPr>
          <w:p w14:paraId="6B37A4E1">
            <w:pPr>
              <w:spacing w:line="360" w:lineRule="auto"/>
              <w:jc w:val="center"/>
              <w:rPr>
                <w:color w:val="000000"/>
                <w:sz w:val="24"/>
                <w:szCs w:val="28"/>
              </w:rPr>
            </w:pPr>
            <w:r>
              <w:rPr>
                <w:rFonts w:hint="eastAsia"/>
                <w:color w:val="000000"/>
                <w:sz w:val="24"/>
                <w:szCs w:val="28"/>
              </w:rPr>
              <w:t>项目人员资质</w:t>
            </w:r>
          </w:p>
        </w:tc>
        <w:tc>
          <w:tcPr>
            <w:tcW w:w="573" w:type="pct"/>
            <w:tcBorders>
              <w:top w:val="nil"/>
              <w:left w:val="nil"/>
              <w:bottom w:val="single" w:color="auto" w:sz="8" w:space="0"/>
              <w:right w:val="single" w:color="auto" w:sz="8" w:space="0"/>
            </w:tcBorders>
            <w:shd w:val="clear" w:color="auto" w:fill="auto"/>
            <w:vAlign w:val="center"/>
          </w:tcPr>
          <w:p w14:paraId="4752278E">
            <w:pPr>
              <w:spacing w:line="360" w:lineRule="auto"/>
              <w:jc w:val="center"/>
              <w:rPr>
                <w:rFonts w:hint="eastAsia" w:eastAsia="宋体"/>
                <w:color w:val="000000"/>
                <w:sz w:val="24"/>
                <w:szCs w:val="28"/>
                <w:lang w:eastAsia="zh-CN"/>
              </w:rPr>
            </w:pPr>
            <w:del w:id="30" w:author="方头大狮子" w:date="2025-02-17T16:20:56Z">
              <w:r>
                <w:rPr>
                  <w:rFonts w:hint="default"/>
                  <w:color w:val="000000"/>
                  <w:sz w:val="24"/>
                  <w:szCs w:val="28"/>
                  <w:lang w:val="en-US"/>
                </w:rPr>
                <w:delText>4</w:delText>
              </w:r>
            </w:del>
            <w:ins w:id="31" w:author="方头大狮子" w:date="2025-02-17T16:20:56Z">
              <w:r>
                <w:rPr>
                  <w:rFonts w:hint="eastAsia"/>
                  <w:color w:val="000000"/>
                  <w:sz w:val="24"/>
                  <w:szCs w:val="28"/>
                  <w:lang w:val="en-US" w:eastAsia="zh-CN"/>
                </w:rPr>
                <w:t>5</w:t>
              </w:r>
            </w:ins>
          </w:p>
        </w:tc>
        <w:tc>
          <w:tcPr>
            <w:tcW w:w="3680" w:type="pct"/>
            <w:tcBorders>
              <w:top w:val="nil"/>
              <w:left w:val="nil"/>
              <w:bottom w:val="single" w:color="auto" w:sz="8" w:space="0"/>
              <w:right w:val="single" w:color="auto" w:sz="8" w:space="0"/>
            </w:tcBorders>
            <w:shd w:val="clear" w:color="auto" w:fill="auto"/>
            <w:vAlign w:val="center"/>
          </w:tcPr>
          <w:p w14:paraId="40C6A4D3">
            <w:pPr>
              <w:spacing w:line="360" w:lineRule="auto"/>
              <w:rPr>
                <w:color w:val="000000"/>
                <w:sz w:val="24"/>
                <w:szCs w:val="28"/>
              </w:rPr>
            </w:pPr>
            <w:r>
              <w:rPr>
                <w:rFonts w:hint="eastAsia"/>
                <w:color w:val="000000"/>
                <w:sz w:val="24"/>
                <w:szCs w:val="28"/>
              </w:rPr>
              <w:t>1、本项目投入项目经理资质：项目经理具备：信息系统项目管理师及数据库系统工程师，得</w:t>
            </w:r>
            <w:del w:id="32" w:author="方头大狮子" w:date="2025-02-17T16:20:59Z">
              <w:r>
                <w:rPr>
                  <w:rFonts w:hint="default"/>
                  <w:color w:val="000000"/>
                  <w:sz w:val="24"/>
                  <w:szCs w:val="28"/>
                  <w:lang w:val="en-US"/>
                </w:rPr>
                <w:delText>4</w:delText>
              </w:r>
            </w:del>
            <w:ins w:id="33" w:author="方头大狮子" w:date="2025-02-17T16:20:59Z">
              <w:r>
                <w:rPr>
                  <w:rFonts w:hint="eastAsia"/>
                  <w:color w:val="000000"/>
                  <w:sz w:val="24"/>
                  <w:szCs w:val="28"/>
                  <w:lang w:val="en-US" w:eastAsia="zh-CN"/>
                </w:rPr>
                <w:t>5</w:t>
              </w:r>
            </w:ins>
            <w:r>
              <w:rPr>
                <w:rFonts w:hint="eastAsia"/>
                <w:color w:val="000000"/>
                <w:sz w:val="24"/>
                <w:szCs w:val="28"/>
              </w:rPr>
              <w:t>分（需提供以上人员的证书扫描件和近半年内任意</w:t>
            </w:r>
            <w:del w:id="34" w:author="方头大狮子" w:date="2025-02-12T11:53:38Z">
              <w:r>
                <w:rPr>
                  <w:rFonts w:hint="default"/>
                  <w:color w:val="000000"/>
                  <w:sz w:val="24"/>
                  <w:szCs w:val="28"/>
                  <w:lang w:val="en-US"/>
                </w:rPr>
                <w:delText>三</w:delText>
              </w:r>
            </w:del>
            <w:ins w:id="35" w:author="方头大狮子" w:date="2025-02-12T11:53:39Z">
              <w:r>
                <w:rPr>
                  <w:rFonts w:hint="eastAsia"/>
                  <w:color w:val="000000"/>
                  <w:sz w:val="24"/>
                  <w:szCs w:val="28"/>
                  <w:lang w:val="en-US" w:eastAsia="zh-CN"/>
                </w:rPr>
                <w:t>一</w:t>
              </w:r>
            </w:ins>
            <w:r>
              <w:rPr>
                <w:rFonts w:hint="eastAsia"/>
                <w:color w:val="000000"/>
                <w:sz w:val="24"/>
                <w:szCs w:val="28"/>
              </w:rPr>
              <w:t>个月为其缴纳社保的证明材料）。</w:t>
            </w:r>
          </w:p>
        </w:tc>
      </w:tr>
      <w:tr w14:paraId="65EABDE1">
        <w:tblPrEx>
          <w:tblCellMar>
            <w:top w:w="0" w:type="dxa"/>
            <w:left w:w="108" w:type="dxa"/>
            <w:bottom w:w="0" w:type="dxa"/>
            <w:right w:w="108" w:type="dxa"/>
          </w:tblCellMar>
        </w:tblPrEx>
        <w:trPr>
          <w:trHeight w:val="1300" w:hRule="atLeast"/>
        </w:trPr>
        <w:tc>
          <w:tcPr>
            <w:tcW w:w="747" w:type="pct"/>
            <w:vMerge w:val="continue"/>
            <w:tcBorders>
              <w:top w:val="nil"/>
              <w:left w:val="single" w:color="auto" w:sz="8" w:space="0"/>
              <w:bottom w:val="single" w:color="000000" w:sz="8" w:space="0"/>
              <w:right w:val="single" w:color="auto" w:sz="8" w:space="0"/>
            </w:tcBorders>
            <w:vAlign w:val="center"/>
          </w:tcPr>
          <w:p w14:paraId="6507471B">
            <w:pPr>
              <w:spacing w:line="360" w:lineRule="auto"/>
              <w:rPr>
                <w:color w:val="000000"/>
                <w:sz w:val="24"/>
                <w:szCs w:val="28"/>
              </w:rPr>
            </w:pPr>
          </w:p>
        </w:tc>
        <w:tc>
          <w:tcPr>
            <w:tcW w:w="573" w:type="pct"/>
            <w:tcBorders>
              <w:top w:val="nil"/>
              <w:left w:val="nil"/>
              <w:bottom w:val="nil"/>
              <w:right w:val="single" w:color="auto" w:sz="8" w:space="0"/>
            </w:tcBorders>
            <w:shd w:val="clear" w:color="auto" w:fill="auto"/>
            <w:vAlign w:val="center"/>
          </w:tcPr>
          <w:p w14:paraId="2BCBFC8A">
            <w:pPr>
              <w:spacing w:line="360" w:lineRule="auto"/>
              <w:jc w:val="center"/>
              <w:rPr>
                <w:rFonts w:hint="eastAsia" w:eastAsia="宋体"/>
                <w:color w:val="000000"/>
                <w:sz w:val="24"/>
                <w:szCs w:val="28"/>
                <w:lang w:eastAsia="zh-CN"/>
              </w:rPr>
            </w:pPr>
            <w:del w:id="36" w:author="方头大狮子" w:date="2025-02-17T16:20:57Z">
              <w:r>
                <w:rPr>
                  <w:rFonts w:hint="default"/>
                  <w:color w:val="000000"/>
                  <w:sz w:val="24"/>
                  <w:szCs w:val="28"/>
                  <w:lang w:val="en-US"/>
                </w:rPr>
                <w:delText>4</w:delText>
              </w:r>
            </w:del>
            <w:ins w:id="37" w:author="方头大狮子" w:date="2025-02-17T16:20:57Z">
              <w:r>
                <w:rPr>
                  <w:rFonts w:hint="eastAsia"/>
                  <w:color w:val="000000"/>
                  <w:sz w:val="24"/>
                  <w:szCs w:val="28"/>
                  <w:lang w:val="en-US" w:eastAsia="zh-CN"/>
                </w:rPr>
                <w:t>8</w:t>
              </w:r>
            </w:ins>
          </w:p>
        </w:tc>
        <w:tc>
          <w:tcPr>
            <w:tcW w:w="3680" w:type="pct"/>
            <w:tcBorders>
              <w:top w:val="nil"/>
              <w:left w:val="nil"/>
              <w:bottom w:val="single" w:color="auto" w:sz="8" w:space="0"/>
              <w:right w:val="single" w:color="auto" w:sz="8" w:space="0"/>
            </w:tcBorders>
            <w:shd w:val="clear" w:color="auto" w:fill="auto"/>
            <w:vAlign w:val="center"/>
          </w:tcPr>
          <w:p w14:paraId="70949C51">
            <w:pPr>
              <w:spacing w:line="360" w:lineRule="auto"/>
              <w:rPr>
                <w:color w:val="000000"/>
                <w:sz w:val="24"/>
                <w:szCs w:val="28"/>
              </w:rPr>
            </w:pPr>
            <w:r>
              <w:rPr>
                <w:rFonts w:hint="eastAsia"/>
                <w:color w:val="000000"/>
                <w:sz w:val="24"/>
                <w:szCs w:val="28"/>
              </w:rPr>
              <w:t>2、本项目投入人员资质：项目团队成员具备：数据库系统工程师，</w:t>
            </w:r>
            <w:ins w:id="38" w:author="方头大狮子" w:date="2025-02-17T16:21:14Z">
              <w:r>
                <w:rPr>
                  <w:rFonts w:hint="eastAsia"/>
                  <w:color w:val="000000"/>
                  <w:sz w:val="24"/>
                  <w:szCs w:val="28"/>
                </w:rPr>
                <w:t>系统分析师</w:t>
              </w:r>
            </w:ins>
            <w:del w:id="39" w:author="方头大狮子" w:date="2025-02-17T16:21:14Z">
              <w:r>
                <w:rPr>
                  <w:rFonts w:hint="eastAsia"/>
                  <w:color w:val="000000"/>
                  <w:sz w:val="24"/>
                  <w:szCs w:val="28"/>
                </w:rPr>
                <w:delText>软件设计师</w:delText>
              </w:r>
            </w:del>
            <w:r>
              <w:rPr>
                <w:rFonts w:hint="eastAsia"/>
                <w:color w:val="000000"/>
                <w:sz w:val="24"/>
                <w:szCs w:val="28"/>
              </w:rPr>
              <w:t>，系统集成项目管理工程师，高级工程师。每具备其中一类证书得</w:t>
            </w:r>
            <w:del w:id="40" w:author="方头大狮子" w:date="2025-02-17T16:21:23Z">
              <w:bookmarkStart w:id="60" w:name="_GoBack"/>
              <w:bookmarkEnd w:id="60"/>
              <w:r>
                <w:rPr>
                  <w:rFonts w:hint="eastAsia"/>
                  <w:color w:val="000000"/>
                  <w:sz w:val="24"/>
                  <w:szCs w:val="28"/>
                </w:rPr>
                <w:delText>1</w:delText>
              </w:r>
            </w:del>
            <w:ins w:id="41" w:author="方头大狮子" w:date="2025-02-17T16:21:20Z">
              <w:r>
                <w:rPr>
                  <w:rFonts w:hint="eastAsia"/>
                  <w:color w:val="000000"/>
                  <w:sz w:val="24"/>
                  <w:szCs w:val="28"/>
                  <w:lang w:val="en-US" w:eastAsia="zh-CN"/>
                </w:rPr>
                <w:t>2</w:t>
              </w:r>
            </w:ins>
            <w:r>
              <w:rPr>
                <w:rFonts w:hint="eastAsia"/>
                <w:color w:val="000000"/>
                <w:sz w:val="24"/>
                <w:szCs w:val="28"/>
              </w:rPr>
              <w:t>分，最多得</w:t>
            </w:r>
            <w:del w:id="42" w:author="方头大狮子" w:date="2025-02-17T16:21:21Z">
              <w:r>
                <w:rPr>
                  <w:rFonts w:hint="default"/>
                  <w:color w:val="000000"/>
                  <w:sz w:val="24"/>
                  <w:szCs w:val="28"/>
                  <w:lang w:val="en-US"/>
                </w:rPr>
                <w:delText>4</w:delText>
              </w:r>
            </w:del>
            <w:ins w:id="43" w:author="方头大狮子" w:date="2025-02-17T16:21:21Z">
              <w:r>
                <w:rPr>
                  <w:rFonts w:hint="eastAsia"/>
                  <w:color w:val="000000"/>
                  <w:sz w:val="24"/>
                  <w:szCs w:val="28"/>
                  <w:lang w:val="en-US" w:eastAsia="zh-CN"/>
                </w:rPr>
                <w:t>8</w:t>
              </w:r>
            </w:ins>
            <w:r>
              <w:rPr>
                <w:rFonts w:hint="eastAsia"/>
                <w:color w:val="000000"/>
                <w:sz w:val="24"/>
                <w:szCs w:val="28"/>
              </w:rPr>
              <w:t>分，单人多证仅算一证（需提供以上人员的证书扫描件和近半年内任意</w:t>
            </w:r>
            <w:ins w:id="44" w:author="方头大狮子" w:date="2025-02-12T11:53:42Z">
              <w:r>
                <w:rPr>
                  <w:rFonts w:hint="eastAsia"/>
                  <w:color w:val="000000"/>
                  <w:sz w:val="24"/>
                  <w:szCs w:val="28"/>
                  <w:lang w:val="en-US" w:eastAsia="zh-CN"/>
                </w:rPr>
                <w:t>一</w:t>
              </w:r>
            </w:ins>
            <w:del w:id="45" w:author="方头大狮子" w:date="2025-02-12T11:53:42Z">
              <w:r>
                <w:rPr>
                  <w:rFonts w:hint="eastAsia"/>
                  <w:color w:val="000000"/>
                  <w:sz w:val="24"/>
                  <w:szCs w:val="28"/>
                </w:rPr>
                <w:delText>三</w:delText>
              </w:r>
            </w:del>
            <w:r>
              <w:rPr>
                <w:rFonts w:hint="eastAsia"/>
                <w:color w:val="000000"/>
                <w:sz w:val="24"/>
                <w:szCs w:val="28"/>
              </w:rPr>
              <w:t>个月为其缴纳社保的证明材料）。</w:t>
            </w:r>
          </w:p>
        </w:tc>
      </w:tr>
      <w:tr w14:paraId="4FDED2BE">
        <w:tblPrEx>
          <w:tblCellMar>
            <w:top w:w="0" w:type="dxa"/>
            <w:left w:w="108" w:type="dxa"/>
            <w:bottom w:w="0" w:type="dxa"/>
            <w:right w:w="108" w:type="dxa"/>
          </w:tblCellMar>
        </w:tblPrEx>
        <w:trPr>
          <w:trHeight w:val="960" w:hRule="atLeast"/>
        </w:trPr>
        <w:tc>
          <w:tcPr>
            <w:tcW w:w="747" w:type="pct"/>
            <w:vMerge w:val="restart"/>
            <w:tcBorders>
              <w:top w:val="nil"/>
              <w:left w:val="single" w:color="auto" w:sz="8" w:space="0"/>
              <w:bottom w:val="single" w:color="000000" w:sz="8" w:space="0"/>
              <w:right w:val="single" w:color="auto" w:sz="8" w:space="0"/>
            </w:tcBorders>
            <w:shd w:val="clear" w:color="auto" w:fill="auto"/>
            <w:vAlign w:val="center"/>
          </w:tcPr>
          <w:p w14:paraId="7801720B">
            <w:pPr>
              <w:spacing w:line="360" w:lineRule="auto"/>
              <w:jc w:val="center"/>
              <w:rPr>
                <w:color w:val="000000"/>
                <w:sz w:val="24"/>
                <w:szCs w:val="28"/>
              </w:rPr>
            </w:pPr>
            <w:r>
              <w:rPr>
                <w:rFonts w:hint="eastAsia"/>
                <w:color w:val="000000"/>
                <w:sz w:val="24"/>
                <w:szCs w:val="28"/>
              </w:rPr>
              <w:t>同类项目业绩</w:t>
            </w:r>
          </w:p>
        </w:tc>
        <w:tc>
          <w:tcPr>
            <w:tcW w:w="57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695C964">
            <w:pPr>
              <w:spacing w:line="360" w:lineRule="auto"/>
              <w:jc w:val="center"/>
              <w:rPr>
                <w:color w:val="000000"/>
                <w:sz w:val="24"/>
                <w:szCs w:val="28"/>
              </w:rPr>
            </w:pPr>
            <w:r>
              <w:rPr>
                <w:rFonts w:hint="eastAsia"/>
                <w:color w:val="000000"/>
                <w:sz w:val="24"/>
                <w:szCs w:val="28"/>
              </w:rPr>
              <w:t>2</w:t>
            </w:r>
          </w:p>
        </w:tc>
        <w:tc>
          <w:tcPr>
            <w:tcW w:w="3680" w:type="pct"/>
            <w:tcBorders>
              <w:top w:val="nil"/>
              <w:left w:val="nil"/>
              <w:bottom w:val="nil"/>
              <w:right w:val="single" w:color="auto" w:sz="8" w:space="0"/>
            </w:tcBorders>
            <w:shd w:val="clear" w:color="auto" w:fill="auto"/>
            <w:vAlign w:val="center"/>
          </w:tcPr>
          <w:p w14:paraId="60A2CDB7">
            <w:pPr>
              <w:spacing w:line="360" w:lineRule="auto"/>
              <w:rPr>
                <w:sz w:val="24"/>
                <w:szCs w:val="28"/>
              </w:rPr>
            </w:pPr>
            <w:r>
              <w:rPr>
                <w:rFonts w:hint="eastAsia"/>
                <w:sz w:val="24"/>
                <w:szCs w:val="28"/>
              </w:rPr>
              <w:t>提供投标人</w:t>
            </w:r>
            <w:r>
              <w:rPr>
                <w:rFonts w:hint="eastAsia"/>
                <w:sz w:val="24"/>
                <w:szCs w:val="28"/>
                <w:lang w:val="en-US" w:eastAsia="zh-CN"/>
              </w:rPr>
              <w:t>近一年</w:t>
            </w:r>
            <w:r>
              <w:commentReference w:id="4"/>
            </w:r>
            <w:ins w:id="46" w:author="方头大狮子" w:date="2025-02-12T16:51:04Z">
              <w:r>
                <w:rPr>
                  <w:rFonts w:hint="eastAsia"/>
                  <w:sz w:val="24"/>
                  <w:szCs w:val="28"/>
                  <w:lang w:val="en-US" w:eastAsia="zh-CN"/>
                </w:rPr>
                <w:t>（</w:t>
              </w:r>
            </w:ins>
            <w:ins w:id="47" w:author="方头大狮子" w:date="2025-02-12T16:51:05Z">
              <w:r>
                <w:rPr>
                  <w:rFonts w:hint="eastAsia"/>
                  <w:sz w:val="24"/>
                  <w:szCs w:val="28"/>
                  <w:lang w:val="en-US" w:eastAsia="zh-CN"/>
                </w:rPr>
                <w:t>202</w:t>
              </w:r>
            </w:ins>
            <w:ins w:id="48" w:author="方头大狮子" w:date="2025-02-12T16:51:06Z">
              <w:r>
                <w:rPr>
                  <w:rFonts w:hint="eastAsia"/>
                  <w:sz w:val="24"/>
                  <w:szCs w:val="28"/>
                  <w:lang w:val="en-US" w:eastAsia="zh-CN"/>
                </w:rPr>
                <w:t>4年</w:t>
              </w:r>
            </w:ins>
            <w:ins w:id="49" w:author="方头大狮子" w:date="2025-02-12T16:51:07Z">
              <w:r>
                <w:rPr>
                  <w:rFonts w:hint="eastAsia"/>
                  <w:sz w:val="24"/>
                  <w:szCs w:val="28"/>
                  <w:lang w:val="en-US" w:eastAsia="zh-CN"/>
                </w:rPr>
                <w:t>2</w:t>
              </w:r>
            </w:ins>
            <w:ins w:id="50" w:author="方头大狮子" w:date="2025-02-12T16:51:08Z">
              <w:r>
                <w:rPr>
                  <w:rFonts w:hint="eastAsia"/>
                  <w:sz w:val="24"/>
                  <w:szCs w:val="28"/>
                  <w:lang w:val="en-US" w:eastAsia="zh-CN"/>
                </w:rPr>
                <w:t>月</w:t>
              </w:r>
            </w:ins>
            <w:ins w:id="51" w:author="方头大狮子" w:date="2025-02-12T16:51:15Z">
              <w:r>
                <w:rPr>
                  <w:rFonts w:hint="eastAsia"/>
                  <w:sz w:val="24"/>
                  <w:szCs w:val="28"/>
                  <w:lang w:val="en-US" w:eastAsia="zh-CN"/>
                </w:rPr>
                <w:t>以来</w:t>
              </w:r>
            </w:ins>
            <w:ins w:id="52" w:author="方头大狮子" w:date="2025-02-12T16:51:04Z">
              <w:r>
                <w:rPr>
                  <w:rFonts w:hint="eastAsia"/>
                  <w:sz w:val="24"/>
                  <w:szCs w:val="28"/>
                  <w:lang w:val="en-US" w:eastAsia="zh-CN"/>
                </w:rPr>
                <w:t>）</w:t>
              </w:r>
            </w:ins>
            <w:del w:id="53" w:author="方头大狮子" w:date="2025-02-12T16:51:21Z">
              <w:r>
                <w:rPr>
                  <w:rFonts w:hint="eastAsia"/>
                  <w:sz w:val="24"/>
                  <w:szCs w:val="28"/>
                </w:rPr>
                <w:delText>以来</w:delText>
              </w:r>
              <w:commentRangeStart w:id="5"/>
              <w:r>
                <w:rPr>
                  <w:rFonts w:hint="eastAsia"/>
                  <w:sz w:val="24"/>
                  <w:szCs w:val="28"/>
                </w:rPr>
                <w:delText>医院</w:delText>
              </w:r>
              <w:commentRangeEnd w:id="5"/>
            </w:del>
            <w:r>
              <w:commentReference w:id="5"/>
            </w:r>
            <w:r>
              <w:rPr>
                <w:rFonts w:hint="eastAsia"/>
                <w:sz w:val="24"/>
                <w:szCs w:val="28"/>
              </w:rPr>
              <w:t>同类项目成功实施案例证明资料，须提供</w:t>
            </w:r>
            <w:del w:id="54" w:author="方头大狮子" w:date="2025-02-12T16:51:25Z">
              <w:commentRangeStart w:id="6"/>
              <w:r>
                <w:rPr>
                  <w:rFonts w:hint="eastAsia"/>
                  <w:sz w:val="24"/>
                  <w:szCs w:val="28"/>
                </w:rPr>
                <w:delText>医院</w:delText>
              </w:r>
              <w:commentRangeEnd w:id="6"/>
            </w:del>
            <w:r>
              <w:commentReference w:id="6"/>
            </w:r>
            <w:r>
              <w:rPr>
                <w:rFonts w:hint="eastAsia"/>
                <w:sz w:val="24"/>
                <w:szCs w:val="28"/>
              </w:rPr>
              <w:t>与投标人直接签署的采购合同复印件，并加盖投标人公章。每提供1家医院案例证明资料得1分，最多得2分。</w:t>
            </w:r>
          </w:p>
        </w:tc>
      </w:tr>
      <w:tr w14:paraId="077501E6">
        <w:tblPrEx>
          <w:tblCellMar>
            <w:top w:w="0" w:type="dxa"/>
            <w:left w:w="108" w:type="dxa"/>
            <w:bottom w:w="0" w:type="dxa"/>
            <w:right w:w="108" w:type="dxa"/>
          </w:tblCellMar>
        </w:tblPrEx>
        <w:trPr>
          <w:trHeight w:val="340" w:hRule="atLeast"/>
        </w:trPr>
        <w:tc>
          <w:tcPr>
            <w:tcW w:w="747" w:type="pct"/>
            <w:vMerge w:val="continue"/>
            <w:tcBorders>
              <w:top w:val="nil"/>
              <w:left w:val="single" w:color="auto" w:sz="8" w:space="0"/>
              <w:bottom w:val="single" w:color="000000" w:sz="8" w:space="0"/>
              <w:right w:val="single" w:color="auto" w:sz="8" w:space="0"/>
            </w:tcBorders>
            <w:vAlign w:val="center"/>
          </w:tcPr>
          <w:p w14:paraId="108C4144">
            <w:pPr>
              <w:spacing w:line="360" w:lineRule="auto"/>
              <w:rPr>
                <w:color w:val="000000"/>
                <w:sz w:val="24"/>
                <w:szCs w:val="28"/>
              </w:rPr>
            </w:pPr>
          </w:p>
        </w:tc>
        <w:tc>
          <w:tcPr>
            <w:tcW w:w="573" w:type="pct"/>
            <w:vMerge w:val="continue"/>
            <w:tcBorders>
              <w:top w:val="single" w:color="auto" w:sz="8" w:space="0"/>
              <w:left w:val="single" w:color="auto" w:sz="8" w:space="0"/>
              <w:bottom w:val="single" w:color="000000" w:sz="8" w:space="0"/>
              <w:right w:val="single" w:color="auto" w:sz="8" w:space="0"/>
            </w:tcBorders>
            <w:vAlign w:val="center"/>
          </w:tcPr>
          <w:p w14:paraId="511BD2D7">
            <w:pPr>
              <w:spacing w:line="360" w:lineRule="auto"/>
              <w:rPr>
                <w:color w:val="000000"/>
                <w:sz w:val="24"/>
                <w:szCs w:val="28"/>
              </w:rPr>
            </w:pPr>
          </w:p>
        </w:tc>
        <w:tc>
          <w:tcPr>
            <w:tcW w:w="3680" w:type="pct"/>
            <w:tcBorders>
              <w:top w:val="nil"/>
              <w:left w:val="nil"/>
              <w:bottom w:val="single" w:color="auto" w:sz="8" w:space="0"/>
              <w:right w:val="single" w:color="auto" w:sz="8" w:space="0"/>
            </w:tcBorders>
            <w:shd w:val="clear" w:color="auto" w:fill="auto"/>
            <w:vAlign w:val="center"/>
          </w:tcPr>
          <w:p w14:paraId="722DED52">
            <w:pPr>
              <w:spacing w:line="360" w:lineRule="auto"/>
              <w:rPr>
                <w:sz w:val="24"/>
                <w:szCs w:val="28"/>
              </w:rPr>
            </w:pPr>
            <w:r>
              <w:rPr>
                <w:rFonts w:hint="eastAsia"/>
                <w:sz w:val="24"/>
                <w:szCs w:val="28"/>
              </w:rPr>
              <w:t>注：合同内容中需包含“DIP”等关键字眼，否则不得分。</w:t>
            </w:r>
          </w:p>
        </w:tc>
      </w:tr>
    </w:tbl>
    <w:p w14:paraId="7F170550">
      <w:pPr>
        <w:pStyle w:val="236"/>
        <w:spacing w:before="0" w:after="0" w:line="360" w:lineRule="auto"/>
        <w:ind w:firstLine="883"/>
        <w:jc w:val="center"/>
        <w:rPr>
          <w:rFonts w:hint="eastAsia" w:ascii="宋体" w:hAnsi="宋体"/>
          <w:color w:val="auto"/>
          <w:sz w:val="52"/>
          <w:highlight w:val="none"/>
        </w:rPr>
      </w:pPr>
      <w:bookmarkStart w:id="42" w:name="_Toc109304976"/>
      <w:r>
        <w:rPr>
          <w:rStyle w:val="89"/>
          <w:rFonts w:hint="eastAsia"/>
          <w:b/>
          <w:color w:val="auto"/>
          <w:highlight w:val="none"/>
        </w:rPr>
        <w:t>第六章 竞争性磋商响应文件格式</w:t>
      </w:r>
      <w:bookmarkEnd w:id="2"/>
      <w:bookmarkEnd w:id="42"/>
    </w:p>
    <w:p w14:paraId="79D7769D">
      <w:pPr>
        <w:spacing w:line="360" w:lineRule="auto"/>
        <w:ind w:firstLine="442"/>
        <w:jc w:val="center"/>
        <w:rPr>
          <w:rFonts w:hint="eastAsia" w:ascii="宋体" w:hAnsi="宋体"/>
          <w:b/>
          <w:color w:val="auto"/>
          <w:sz w:val="22"/>
          <w:highlight w:val="none"/>
        </w:rPr>
      </w:pPr>
    </w:p>
    <w:p w14:paraId="1C381D03">
      <w:pPr>
        <w:spacing w:line="360" w:lineRule="auto"/>
        <w:jc w:val="center"/>
        <w:rPr>
          <w:rFonts w:hint="eastAsia" w:ascii="宋体" w:hAnsi="宋体" w:cs="Arial"/>
          <w:b/>
          <w:bCs/>
          <w:color w:val="auto"/>
          <w:sz w:val="72"/>
          <w:szCs w:val="72"/>
          <w:highlight w:val="none"/>
        </w:rPr>
      </w:pPr>
    </w:p>
    <w:p w14:paraId="73D87880">
      <w:pPr>
        <w:spacing w:line="360" w:lineRule="auto"/>
        <w:jc w:val="center"/>
        <w:rPr>
          <w:rFonts w:hint="eastAsia" w:ascii="宋体" w:hAnsi="宋体" w:cs="Arial"/>
          <w:b/>
          <w:bCs/>
          <w:color w:val="auto"/>
          <w:sz w:val="72"/>
          <w:szCs w:val="72"/>
          <w:highlight w:val="none"/>
        </w:rPr>
      </w:pPr>
      <w:r>
        <w:rPr>
          <w:rFonts w:hint="eastAsia" w:ascii="宋体" w:hAnsi="宋体" w:cs="Arial"/>
          <w:b/>
          <w:bCs/>
          <w:color w:val="auto"/>
          <w:sz w:val="72"/>
          <w:szCs w:val="72"/>
          <w:highlight w:val="none"/>
        </w:rPr>
        <w:t>竞争性磋商响应文件</w:t>
      </w:r>
    </w:p>
    <w:p w14:paraId="40349A68">
      <w:pPr>
        <w:spacing w:line="360" w:lineRule="auto"/>
        <w:ind w:firstLine="1446"/>
        <w:jc w:val="center"/>
        <w:rPr>
          <w:rFonts w:hint="eastAsia" w:ascii="宋体" w:hAnsi="宋体"/>
          <w:b/>
          <w:color w:val="auto"/>
          <w:sz w:val="72"/>
          <w:szCs w:val="21"/>
          <w:highlight w:val="none"/>
        </w:rPr>
      </w:pPr>
    </w:p>
    <w:p w14:paraId="5E936588">
      <w:pPr>
        <w:spacing w:line="360" w:lineRule="auto"/>
        <w:ind w:firstLine="723"/>
        <w:jc w:val="center"/>
        <w:rPr>
          <w:rFonts w:hint="eastAsia" w:ascii="宋体" w:hAnsi="宋体"/>
          <w:b/>
          <w:color w:val="auto"/>
          <w:sz w:val="36"/>
          <w:szCs w:val="21"/>
          <w:highlight w:val="none"/>
        </w:rPr>
      </w:pPr>
    </w:p>
    <w:p w14:paraId="41A12AE0">
      <w:pPr>
        <w:spacing w:line="360" w:lineRule="auto"/>
        <w:ind w:firstLine="723"/>
        <w:jc w:val="center"/>
        <w:rPr>
          <w:rFonts w:hint="eastAsia" w:ascii="宋体" w:hAnsi="宋体"/>
          <w:b/>
          <w:color w:val="auto"/>
          <w:sz w:val="36"/>
          <w:szCs w:val="21"/>
          <w:highlight w:val="none"/>
        </w:rPr>
      </w:pPr>
    </w:p>
    <w:p w14:paraId="2EBC25A7">
      <w:pPr>
        <w:spacing w:line="360" w:lineRule="auto"/>
        <w:ind w:firstLine="723"/>
        <w:jc w:val="center"/>
        <w:rPr>
          <w:rFonts w:hint="eastAsia" w:ascii="宋体" w:hAnsi="宋体"/>
          <w:b/>
          <w:color w:val="auto"/>
          <w:sz w:val="36"/>
          <w:szCs w:val="21"/>
          <w:highlight w:val="none"/>
        </w:rPr>
      </w:pPr>
    </w:p>
    <w:p w14:paraId="4735BDAE">
      <w:pPr>
        <w:spacing w:line="360" w:lineRule="auto"/>
        <w:ind w:firstLine="723"/>
        <w:jc w:val="center"/>
        <w:rPr>
          <w:rFonts w:hint="eastAsia" w:ascii="宋体" w:hAnsi="宋体"/>
          <w:b/>
          <w:color w:val="auto"/>
          <w:sz w:val="36"/>
          <w:highlight w:val="none"/>
        </w:rPr>
      </w:pPr>
    </w:p>
    <w:p w14:paraId="608E6D3F">
      <w:pPr>
        <w:spacing w:line="360" w:lineRule="auto"/>
        <w:ind w:firstLine="723"/>
        <w:rPr>
          <w:rFonts w:hint="eastAsia" w:ascii="宋体" w:hAnsi="宋体"/>
          <w:b/>
          <w:color w:val="auto"/>
          <w:sz w:val="36"/>
          <w:highlight w:val="none"/>
        </w:rPr>
      </w:pPr>
      <w:r>
        <w:rPr>
          <w:rFonts w:hint="eastAsia" w:ascii="宋体" w:hAnsi="宋体"/>
          <w:b/>
          <w:color w:val="auto"/>
          <w:sz w:val="36"/>
          <w:highlight w:val="none"/>
        </w:rPr>
        <w:t>项 目 名 称：</w:t>
      </w:r>
    </w:p>
    <w:p w14:paraId="4E7B6339">
      <w:pPr>
        <w:spacing w:line="360" w:lineRule="auto"/>
        <w:ind w:firstLine="723"/>
        <w:rPr>
          <w:rFonts w:hint="eastAsia" w:ascii="宋体" w:hAnsi="宋体"/>
          <w:b/>
          <w:color w:val="auto"/>
          <w:sz w:val="36"/>
          <w:highlight w:val="none"/>
          <w:u w:val="single"/>
        </w:rPr>
      </w:pPr>
      <w:r>
        <w:rPr>
          <w:rFonts w:hint="eastAsia" w:ascii="宋体" w:hAnsi="宋体"/>
          <w:b/>
          <w:color w:val="auto"/>
          <w:sz w:val="36"/>
          <w:highlight w:val="none"/>
        </w:rPr>
        <w:t>项 目 编 号：</w:t>
      </w:r>
    </w:p>
    <w:p w14:paraId="62A3506B">
      <w:pPr>
        <w:spacing w:line="360" w:lineRule="auto"/>
        <w:ind w:firstLine="723"/>
        <w:rPr>
          <w:rFonts w:hint="eastAsia" w:ascii="宋体" w:hAnsi="宋体"/>
          <w:b/>
          <w:color w:val="auto"/>
          <w:sz w:val="36"/>
          <w:highlight w:val="none"/>
          <w:u w:val="single"/>
        </w:rPr>
      </w:pPr>
      <w:r>
        <w:rPr>
          <w:rFonts w:hint="eastAsia" w:ascii="宋体" w:hAnsi="宋体"/>
          <w:b/>
          <w:color w:val="auto"/>
          <w:sz w:val="36"/>
          <w:highlight w:val="none"/>
        </w:rPr>
        <w:t>磋商供应商名称 ：</w:t>
      </w:r>
    </w:p>
    <w:p w14:paraId="504CE9BC">
      <w:pPr>
        <w:spacing w:line="360" w:lineRule="auto"/>
        <w:ind w:firstLine="723"/>
        <w:rPr>
          <w:rFonts w:hint="eastAsia" w:ascii="宋体" w:hAnsi="宋体"/>
          <w:b/>
          <w:color w:val="auto"/>
          <w:sz w:val="36"/>
          <w:highlight w:val="none"/>
          <w:u w:val="single"/>
        </w:rPr>
      </w:pPr>
      <w:r>
        <w:rPr>
          <w:rFonts w:hint="eastAsia" w:ascii="宋体" w:hAnsi="宋体"/>
          <w:b/>
          <w:color w:val="auto"/>
          <w:sz w:val="36"/>
          <w:highlight w:val="none"/>
        </w:rPr>
        <w:t>日      期 ：</w:t>
      </w:r>
    </w:p>
    <w:p w14:paraId="14AE7EA7">
      <w:pPr>
        <w:spacing w:line="360" w:lineRule="auto"/>
        <w:ind w:firstLine="723"/>
        <w:rPr>
          <w:rFonts w:hint="eastAsia" w:ascii="宋体" w:hAnsi="宋体"/>
          <w:b/>
          <w:color w:val="auto"/>
          <w:sz w:val="36"/>
          <w:highlight w:val="none"/>
        </w:rPr>
      </w:pPr>
      <w:r>
        <w:rPr>
          <w:rFonts w:hint="eastAsia" w:ascii="宋体" w:hAnsi="宋体"/>
          <w:b/>
          <w:color w:val="auto"/>
          <w:sz w:val="36"/>
          <w:highlight w:val="none"/>
        </w:rPr>
        <w:t>供  应  商：（电子签章）</w:t>
      </w:r>
    </w:p>
    <w:p w14:paraId="154CC670">
      <w:pPr>
        <w:spacing w:line="360" w:lineRule="auto"/>
        <w:ind w:firstLine="480"/>
        <w:jc w:val="center"/>
        <w:rPr>
          <w:rFonts w:hint="eastAsia" w:ascii="宋体" w:hAnsi="宋体"/>
          <w:b/>
          <w:bCs/>
          <w:color w:val="auto"/>
          <w:sz w:val="32"/>
          <w:szCs w:val="32"/>
          <w:highlight w:val="none"/>
        </w:rPr>
      </w:pPr>
      <w:r>
        <w:rPr>
          <w:rFonts w:hint="eastAsia" w:ascii="宋体" w:hAnsi="宋体"/>
          <w:color w:val="auto"/>
          <w:sz w:val="24"/>
          <w:highlight w:val="none"/>
        </w:rPr>
        <w:br w:type="page" w:clear="all"/>
      </w:r>
      <w:r>
        <w:rPr>
          <w:rFonts w:hint="eastAsia" w:ascii="宋体" w:hAnsi="宋体"/>
          <w:b/>
          <w:bCs/>
          <w:color w:val="auto"/>
          <w:sz w:val="32"/>
          <w:szCs w:val="32"/>
          <w:highlight w:val="none"/>
        </w:rPr>
        <w:t>磋商主要文件目录</w:t>
      </w:r>
    </w:p>
    <w:p w14:paraId="4819271B">
      <w:pPr>
        <w:spacing w:line="360" w:lineRule="auto"/>
        <w:ind w:firstLine="643"/>
        <w:jc w:val="center"/>
        <w:rPr>
          <w:rFonts w:hint="eastAsia" w:ascii="宋体" w:hAnsi="宋体"/>
          <w:b/>
          <w:bCs/>
          <w:color w:val="auto"/>
          <w:sz w:val="32"/>
          <w:szCs w:val="32"/>
          <w:highlight w:val="none"/>
        </w:rPr>
      </w:pPr>
    </w:p>
    <w:p w14:paraId="6D95643B">
      <w:pPr>
        <w:spacing w:line="360" w:lineRule="auto"/>
        <w:ind w:firstLine="480"/>
        <w:rPr>
          <w:rFonts w:hint="eastAsia" w:ascii="宋体" w:hAnsi="宋体"/>
          <w:color w:val="auto"/>
          <w:sz w:val="24"/>
          <w:highlight w:val="none"/>
        </w:rPr>
      </w:pPr>
      <w:r>
        <w:rPr>
          <w:rFonts w:hint="eastAsia" w:ascii="宋体" w:hAnsi="宋体"/>
          <w:color w:val="auto"/>
          <w:sz w:val="24"/>
          <w:highlight w:val="none"/>
        </w:rPr>
        <w:t>一、资格审查响应对照表</w:t>
      </w:r>
    </w:p>
    <w:p w14:paraId="277F0906">
      <w:pPr>
        <w:spacing w:line="360" w:lineRule="auto"/>
        <w:ind w:firstLine="480"/>
        <w:rPr>
          <w:rFonts w:hint="eastAsia" w:ascii="宋体" w:hAnsi="宋体"/>
          <w:color w:val="auto"/>
          <w:sz w:val="24"/>
          <w:highlight w:val="none"/>
        </w:rPr>
      </w:pPr>
      <w:r>
        <w:rPr>
          <w:rFonts w:hint="eastAsia" w:ascii="宋体" w:hAnsi="宋体"/>
          <w:color w:val="auto"/>
          <w:sz w:val="24"/>
          <w:highlight w:val="none"/>
        </w:rPr>
        <w:t>二、符合性审查响应对照表</w:t>
      </w:r>
    </w:p>
    <w:p w14:paraId="4A627582">
      <w:pPr>
        <w:spacing w:line="360" w:lineRule="auto"/>
        <w:ind w:firstLine="480"/>
        <w:rPr>
          <w:rFonts w:hint="eastAsia" w:ascii="宋体" w:hAnsi="宋体"/>
          <w:color w:val="auto"/>
          <w:sz w:val="24"/>
          <w:highlight w:val="none"/>
        </w:rPr>
      </w:pPr>
      <w:r>
        <w:rPr>
          <w:rFonts w:hint="eastAsia" w:ascii="宋体" w:hAnsi="宋体"/>
          <w:color w:val="auto"/>
          <w:sz w:val="24"/>
          <w:highlight w:val="none"/>
        </w:rPr>
        <w:t>三、非实质性响应对照表</w:t>
      </w:r>
    </w:p>
    <w:p w14:paraId="6F7CEF6D">
      <w:pPr>
        <w:spacing w:line="360" w:lineRule="auto"/>
        <w:ind w:firstLine="480"/>
        <w:rPr>
          <w:rFonts w:hint="eastAsia" w:ascii="宋体" w:hAnsi="宋体"/>
          <w:color w:val="auto"/>
          <w:sz w:val="24"/>
          <w:highlight w:val="none"/>
        </w:rPr>
      </w:pPr>
      <w:r>
        <w:rPr>
          <w:rFonts w:hint="eastAsia" w:ascii="宋体" w:hAnsi="宋体"/>
          <w:color w:val="auto"/>
          <w:sz w:val="24"/>
          <w:highlight w:val="none"/>
        </w:rPr>
        <w:t>四、磋商响应报价表</w:t>
      </w:r>
    </w:p>
    <w:p w14:paraId="72770C78">
      <w:pPr>
        <w:spacing w:line="360" w:lineRule="auto"/>
        <w:ind w:firstLine="480"/>
        <w:rPr>
          <w:rFonts w:hint="eastAsia" w:ascii="宋体" w:hAnsi="宋体"/>
          <w:color w:val="auto"/>
          <w:sz w:val="24"/>
          <w:highlight w:val="none"/>
        </w:rPr>
      </w:pPr>
      <w:r>
        <w:rPr>
          <w:rFonts w:hint="eastAsia" w:ascii="宋体" w:hAnsi="宋体"/>
          <w:color w:val="auto"/>
          <w:sz w:val="24"/>
          <w:highlight w:val="none"/>
        </w:rPr>
        <w:t>五、分项报价表</w:t>
      </w:r>
    </w:p>
    <w:p w14:paraId="59E658C4">
      <w:pPr>
        <w:spacing w:line="360" w:lineRule="auto"/>
        <w:ind w:firstLine="480"/>
        <w:rPr>
          <w:rFonts w:hint="eastAsia" w:ascii="宋体" w:hAnsi="宋体"/>
          <w:color w:val="auto"/>
          <w:sz w:val="24"/>
          <w:highlight w:val="none"/>
        </w:rPr>
      </w:pPr>
      <w:r>
        <w:rPr>
          <w:rFonts w:hint="eastAsia" w:ascii="宋体" w:hAnsi="宋体"/>
          <w:color w:val="auto"/>
          <w:sz w:val="24"/>
          <w:highlight w:val="none"/>
        </w:rPr>
        <w:t>六、技术参数响应及偏离表</w:t>
      </w:r>
    </w:p>
    <w:p w14:paraId="343D524A">
      <w:pPr>
        <w:spacing w:line="360" w:lineRule="auto"/>
        <w:ind w:firstLine="480"/>
        <w:rPr>
          <w:rFonts w:hint="eastAsia" w:ascii="宋体" w:hAnsi="宋体"/>
          <w:color w:val="auto"/>
          <w:sz w:val="24"/>
          <w:highlight w:val="none"/>
        </w:rPr>
      </w:pPr>
      <w:r>
        <w:rPr>
          <w:rFonts w:hint="eastAsia" w:ascii="宋体" w:hAnsi="宋体"/>
          <w:color w:val="auto"/>
          <w:sz w:val="24"/>
          <w:highlight w:val="none"/>
        </w:rPr>
        <w:t>七、商务条款响应及偏离表</w:t>
      </w:r>
    </w:p>
    <w:p w14:paraId="71BBBD58">
      <w:pPr>
        <w:spacing w:line="360" w:lineRule="auto"/>
        <w:ind w:firstLine="480"/>
        <w:rPr>
          <w:rFonts w:hint="eastAsia" w:ascii="宋体" w:hAnsi="宋体"/>
          <w:color w:val="auto"/>
          <w:sz w:val="24"/>
          <w:highlight w:val="none"/>
        </w:rPr>
      </w:pPr>
      <w:r>
        <w:rPr>
          <w:rFonts w:hint="eastAsia" w:ascii="宋体" w:hAnsi="宋体"/>
          <w:color w:val="auto"/>
          <w:sz w:val="24"/>
          <w:highlight w:val="none"/>
        </w:rPr>
        <w:t>八、拟投入人员一览表</w:t>
      </w:r>
    </w:p>
    <w:p w14:paraId="09064266">
      <w:pPr>
        <w:spacing w:line="360" w:lineRule="auto"/>
        <w:ind w:firstLine="480"/>
        <w:rPr>
          <w:rFonts w:hint="eastAsia" w:ascii="宋体" w:hAnsi="宋体"/>
          <w:color w:val="auto"/>
          <w:sz w:val="24"/>
          <w:highlight w:val="none"/>
        </w:rPr>
      </w:pPr>
      <w:r>
        <w:rPr>
          <w:rFonts w:hint="eastAsia" w:ascii="宋体" w:hAnsi="宋体"/>
          <w:color w:val="auto"/>
          <w:sz w:val="24"/>
          <w:highlight w:val="none"/>
        </w:rPr>
        <w:t>九</w:t>
      </w:r>
      <w:r>
        <w:rPr>
          <w:rFonts w:hint="eastAsia" w:ascii="宋体" w:hAnsi="宋体" w:cs="Courier New"/>
          <w:color w:val="auto"/>
          <w:sz w:val="24"/>
          <w:szCs w:val="24"/>
          <w:highlight w:val="none"/>
        </w:rPr>
        <w:t>、</w:t>
      </w:r>
      <w:r>
        <w:rPr>
          <w:rFonts w:hint="eastAsia" w:ascii="宋体" w:hAnsi="宋体"/>
          <w:color w:val="auto"/>
          <w:sz w:val="24"/>
          <w:highlight w:val="none"/>
        </w:rPr>
        <w:t>其他 （供应商认为有必要提供的声明和文件，如有自拟并自行添加）</w:t>
      </w:r>
    </w:p>
    <w:p w14:paraId="434B93A2">
      <w:pPr>
        <w:spacing w:line="360" w:lineRule="auto"/>
        <w:ind w:firstLine="643"/>
        <w:jc w:val="center"/>
        <w:rPr>
          <w:rFonts w:hint="eastAsia" w:ascii="宋体" w:hAnsi="宋体"/>
          <w:b/>
          <w:color w:val="auto"/>
          <w:sz w:val="32"/>
          <w:szCs w:val="32"/>
          <w:highlight w:val="none"/>
        </w:rPr>
      </w:pPr>
      <w:r>
        <w:rPr>
          <w:rFonts w:ascii="宋体" w:hAnsi="宋体"/>
          <w:b/>
          <w:color w:val="auto"/>
          <w:sz w:val="32"/>
          <w:szCs w:val="32"/>
          <w:highlight w:val="none"/>
        </w:rPr>
        <w:br w:type="page" w:clear="all"/>
      </w:r>
      <w:r>
        <w:rPr>
          <w:rFonts w:hint="eastAsia" w:ascii="宋体" w:hAnsi="宋体"/>
          <w:b/>
          <w:color w:val="auto"/>
          <w:sz w:val="32"/>
          <w:szCs w:val="32"/>
          <w:highlight w:val="none"/>
        </w:rPr>
        <w:t>一、资格审查响应对照表</w:t>
      </w:r>
    </w:p>
    <w:tbl>
      <w:tblPr>
        <w:tblStyle w:val="37"/>
        <w:tblpPr w:leftFromText="180" w:rightFromText="180" w:vertAnchor="text" w:horzAnchor="page" w:tblpX="1037" w:tblpY="38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0"/>
        <w:gridCol w:w="4645"/>
      </w:tblGrid>
      <w:tr w14:paraId="13E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09F3D630">
            <w:pPr>
              <w:pStyle w:val="309"/>
              <w:spacing w:line="440" w:lineRule="exac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资格审查项</w:t>
            </w:r>
          </w:p>
        </w:tc>
        <w:tc>
          <w:tcPr>
            <w:tcW w:w="4645" w:type="dxa"/>
            <w:tcBorders>
              <w:top w:val="single" w:color="auto" w:sz="4" w:space="0"/>
              <w:left w:val="single" w:color="auto" w:sz="4" w:space="0"/>
              <w:bottom w:val="single" w:color="auto" w:sz="4" w:space="0"/>
              <w:right w:val="single" w:color="auto" w:sz="4" w:space="0"/>
            </w:tcBorders>
            <w:noWrap w:val="0"/>
            <w:vAlign w:val="center"/>
          </w:tcPr>
          <w:p w14:paraId="5A03C4FE">
            <w:pPr>
              <w:pStyle w:val="309"/>
              <w:spacing w:line="440" w:lineRule="exac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在投标文件中的页码位置</w:t>
            </w:r>
          </w:p>
        </w:tc>
      </w:tr>
      <w:tr w14:paraId="5B45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54579A37">
            <w:pPr>
              <w:spacing w:line="440" w:lineRule="exact"/>
              <w:jc w:val="both"/>
              <w:rPr>
                <w:rFonts w:ascii="仿宋" w:hAnsi="仿宋" w:eastAsia="仿宋" w:cs="仿宋"/>
                <w:color w:val="auto"/>
                <w:sz w:val="28"/>
                <w:szCs w:val="28"/>
                <w:highlight w:val="none"/>
              </w:rPr>
            </w:pPr>
          </w:p>
        </w:tc>
        <w:tc>
          <w:tcPr>
            <w:tcW w:w="4645" w:type="dxa"/>
            <w:tcBorders>
              <w:top w:val="single" w:color="auto" w:sz="4" w:space="0"/>
              <w:left w:val="single" w:color="auto" w:sz="4" w:space="0"/>
              <w:bottom w:val="single" w:color="auto" w:sz="4" w:space="0"/>
              <w:right w:val="single" w:color="auto" w:sz="4" w:space="0"/>
            </w:tcBorders>
            <w:noWrap w:val="0"/>
            <w:vAlign w:val="center"/>
          </w:tcPr>
          <w:p w14:paraId="0D838B79">
            <w:pPr>
              <w:pStyle w:val="309"/>
              <w:spacing w:line="440" w:lineRule="exact"/>
              <w:jc w:val="center"/>
              <w:rPr>
                <w:rFonts w:ascii="仿宋" w:hAnsi="仿宋" w:eastAsia="仿宋" w:cs="仿宋"/>
                <w:color w:val="auto"/>
                <w:sz w:val="28"/>
                <w:szCs w:val="28"/>
                <w:highlight w:val="none"/>
              </w:rPr>
            </w:pPr>
          </w:p>
        </w:tc>
      </w:tr>
      <w:tr w14:paraId="4B8A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4A6181FB">
            <w:pPr>
              <w:spacing w:line="440" w:lineRule="exact"/>
              <w:jc w:val="both"/>
              <w:rPr>
                <w:rFonts w:ascii="仿宋" w:hAnsi="仿宋" w:eastAsia="仿宋" w:cs="仿宋"/>
                <w:color w:val="auto"/>
                <w:sz w:val="28"/>
                <w:szCs w:val="28"/>
                <w:highlight w:val="none"/>
              </w:rPr>
            </w:pPr>
          </w:p>
        </w:tc>
        <w:tc>
          <w:tcPr>
            <w:tcW w:w="4645" w:type="dxa"/>
            <w:tcBorders>
              <w:top w:val="single" w:color="auto" w:sz="4" w:space="0"/>
              <w:left w:val="single" w:color="auto" w:sz="4" w:space="0"/>
              <w:bottom w:val="single" w:color="auto" w:sz="4" w:space="0"/>
              <w:right w:val="single" w:color="auto" w:sz="4" w:space="0"/>
            </w:tcBorders>
            <w:noWrap w:val="0"/>
            <w:vAlign w:val="center"/>
          </w:tcPr>
          <w:p w14:paraId="68E6E2E3">
            <w:pPr>
              <w:pStyle w:val="309"/>
              <w:spacing w:line="440" w:lineRule="exact"/>
              <w:jc w:val="center"/>
              <w:rPr>
                <w:rFonts w:ascii="仿宋" w:hAnsi="仿宋" w:eastAsia="仿宋" w:cs="仿宋"/>
                <w:color w:val="auto"/>
                <w:sz w:val="28"/>
                <w:szCs w:val="28"/>
                <w:highlight w:val="none"/>
              </w:rPr>
            </w:pPr>
          </w:p>
        </w:tc>
      </w:tr>
      <w:tr w14:paraId="4B68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79B5D6ED">
            <w:pPr>
              <w:spacing w:line="440" w:lineRule="exact"/>
              <w:jc w:val="both"/>
              <w:rPr>
                <w:rFonts w:ascii="仿宋" w:hAnsi="仿宋" w:eastAsia="仿宋" w:cs="仿宋"/>
                <w:color w:val="auto"/>
                <w:sz w:val="28"/>
                <w:szCs w:val="28"/>
                <w:highlight w:val="none"/>
              </w:rPr>
            </w:pPr>
          </w:p>
        </w:tc>
        <w:tc>
          <w:tcPr>
            <w:tcW w:w="4645" w:type="dxa"/>
            <w:tcBorders>
              <w:top w:val="single" w:color="auto" w:sz="4" w:space="0"/>
              <w:left w:val="single" w:color="auto" w:sz="4" w:space="0"/>
              <w:bottom w:val="single" w:color="auto" w:sz="4" w:space="0"/>
              <w:right w:val="single" w:color="auto" w:sz="4" w:space="0"/>
            </w:tcBorders>
            <w:noWrap w:val="0"/>
            <w:vAlign w:val="center"/>
          </w:tcPr>
          <w:p w14:paraId="587CB7F2">
            <w:pPr>
              <w:pStyle w:val="309"/>
              <w:spacing w:line="440" w:lineRule="exact"/>
              <w:jc w:val="center"/>
              <w:rPr>
                <w:rFonts w:ascii="仿宋" w:hAnsi="仿宋" w:eastAsia="仿宋" w:cs="仿宋"/>
                <w:color w:val="auto"/>
                <w:sz w:val="28"/>
                <w:szCs w:val="28"/>
                <w:highlight w:val="none"/>
              </w:rPr>
            </w:pPr>
          </w:p>
        </w:tc>
      </w:tr>
      <w:tr w14:paraId="7722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6EE81E99">
            <w:pPr>
              <w:spacing w:line="440" w:lineRule="exact"/>
              <w:jc w:val="both"/>
              <w:rPr>
                <w:rFonts w:ascii="仿宋" w:hAnsi="仿宋" w:eastAsia="仿宋" w:cs="仿宋"/>
                <w:color w:val="auto"/>
                <w:sz w:val="28"/>
                <w:szCs w:val="28"/>
                <w:highlight w:val="none"/>
              </w:rPr>
            </w:pPr>
          </w:p>
        </w:tc>
        <w:tc>
          <w:tcPr>
            <w:tcW w:w="4645" w:type="dxa"/>
            <w:tcBorders>
              <w:top w:val="single" w:color="auto" w:sz="4" w:space="0"/>
              <w:left w:val="single" w:color="auto" w:sz="4" w:space="0"/>
              <w:bottom w:val="single" w:color="auto" w:sz="4" w:space="0"/>
              <w:right w:val="single" w:color="auto" w:sz="4" w:space="0"/>
            </w:tcBorders>
            <w:noWrap w:val="0"/>
            <w:vAlign w:val="center"/>
          </w:tcPr>
          <w:p w14:paraId="2DDA980D">
            <w:pPr>
              <w:pStyle w:val="309"/>
              <w:spacing w:line="440" w:lineRule="exact"/>
              <w:jc w:val="center"/>
              <w:rPr>
                <w:rFonts w:ascii="仿宋" w:hAnsi="仿宋" w:eastAsia="仿宋" w:cs="仿宋"/>
                <w:color w:val="auto"/>
                <w:sz w:val="28"/>
                <w:szCs w:val="28"/>
                <w:highlight w:val="none"/>
              </w:rPr>
            </w:pPr>
          </w:p>
        </w:tc>
      </w:tr>
      <w:tr w14:paraId="7E0C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10A744F8">
            <w:pPr>
              <w:spacing w:line="440" w:lineRule="exact"/>
              <w:jc w:val="both"/>
              <w:rPr>
                <w:rFonts w:ascii="仿宋" w:hAnsi="仿宋" w:eastAsia="仿宋" w:cs="仿宋"/>
                <w:color w:val="auto"/>
                <w:sz w:val="28"/>
                <w:szCs w:val="28"/>
                <w:highlight w:val="none"/>
              </w:rPr>
            </w:pPr>
          </w:p>
        </w:tc>
        <w:tc>
          <w:tcPr>
            <w:tcW w:w="4645" w:type="dxa"/>
            <w:tcBorders>
              <w:top w:val="single" w:color="auto" w:sz="4" w:space="0"/>
              <w:left w:val="single" w:color="auto" w:sz="4" w:space="0"/>
              <w:bottom w:val="single" w:color="auto" w:sz="4" w:space="0"/>
              <w:right w:val="single" w:color="auto" w:sz="4" w:space="0"/>
            </w:tcBorders>
            <w:noWrap w:val="0"/>
            <w:vAlign w:val="center"/>
          </w:tcPr>
          <w:p w14:paraId="2C5852F0">
            <w:pPr>
              <w:pStyle w:val="309"/>
              <w:spacing w:line="440" w:lineRule="exact"/>
              <w:jc w:val="center"/>
              <w:rPr>
                <w:rFonts w:ascii="仿宋" w:hAnsi="仿宋" w:eastAsia="仿宋" w:cs="仿宋"/>
                <w:color w:val="auto"/>
                <w:sz w:val="28"/>
                <w:szCs w:val="28"/>
                <w:highlight w:val="none"/>
              </w:rPr>
            </w:pPr>
          </w:p>
        </w:tc>
      </w:tr>
      <w:tr w14:paraId="7A32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7479006F">
            <w:pPr>
              <w:spacing w:line="440" w:lineRule="exact"/>
              <w:jc w:val="both"/>
              <w:rPr>
                <w:rFonts w:ascii="仿宋" w:hAnsi="仿宋" w:eastAsia="仿宋" w:cs="仿宋"/>
                <w:color w:val="auto"/>
                <w:sz w:val="28"/>
                <w:szCs w:val="28"/>
                <w:highlight w:val="none"/>
              </w:rPr>
            </w:pPr>
          </w:p>
        </w:tc>
        <w:tc>
          <w:tcPr>
            <w:tcW w:w="4645" w:type="dxa"/>
            <w:tcBorders>
              <w:top w:val="single" w:color="auto" w:sz="4" w:space="0"/>
              <w:left w:val="single" w:color="auto" w:sz="4" w:space="0"/>
              <w:bottom w:val="single" w:color="auto" w:sz="4" w:space="0"/>
              <w:right w:val="single" w:color="auto" w:sz="4" w:space="0"/>
            </w:tcBorders>
            <w:noWrap w:val="0"/>
            <w:vAlign w:val="center"/>
          </w:tcPr>
          <w:p w14:paraId="496A7D72">
            <w:pPr>
              <w:pStyle w:val="309"/>
              <w:spacing w:line="440" w:lineRule="exact"/>
              <w:jc w:val="center"/>
              <w:rPr>
                <w:rFonts w:ascii="仿宋" w:hAnsi="仿宋" w:eastAsia="仿宋" w:cs="仿宋"/>
                <w:color w:val="auto"/>
                <w:sz w:val="28"/>
                <w:szCs w:val="28"/>
                <w:highlight w:val="none"/>
              </w:rPr>
            </w:pPr>
          </w:p>
        </w:tc>
      </w:tr>
      <w:tr w14:paraId="4E76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80" w:type="dxa"/>
            <w:tcBorders>
              <w:top w:val="single" w:color="auto" w:sz="4" w:space="0"/>
              <w:left w:val="single" w:color="auto" w:sz="4" w:space="0"/>
              <w:bottom w:val="single" w:color="auto" w:sz="4" w:space="0"/>
              <w:right w:val="single" w:color="auto" w:sz="4" w:space="0"/>
            </w:tcBorders>
            <w:noWrap w:val="0"/>
            <w:vAlign w:val="center"/>
          </w:tcPr>
          <w:p w14:paraId="7CB66116">
            <w:pPr>
              <w:spacing w:line="440" w:lineRule="exac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w:t>
            </w:r>
          </w:p>
        </w:tc>
        <w:tc>
          <w:tcPr>
            <w:tcW w:w="4645" w:type="dxa"/>
            <w:tcBorders>
              <w:top w:val="single" w:color="auto" w:sz="4" w:space="0"/>
              <w:left w:val="single" w:color="auto" w:sz="4" w:space="0"/>
              <w:bottom w:val="single" w:color="auto" w:sz="4" w:space="0"/>
              <w:right w:val="single" w:color="auto" w:sz="4" w:space="0"/>
            </w:tcBorders>
            <w:noWrap w:val="0"/>
            <w:vAlign w:val="center"/>
          </w:tcPr>
          <w:p w14:paraId="4F3B15C8">
            <w:pPr>
              <w:pStyle w:val="309"/>
              <w:spacing w:line="440" w:lineRule="exact"/>
              <w:jc w:val="center"/>
              <w:rPr>
                <w:rFonts w:ascii="仿宋" w:hAnsi="仿宋" w:eastAsia="仿宋" w:cs="仿宋"/>
                <w:color w:val="auto"/>
                <w:sz w:val="28"/>
                <w:szCs w:val="28"/>
                <w:highlight w:val="none"/>
              </w:rPr>
            </w:pPr>
          </w:p>
        </w:tc>
      </w:tr>
    </w:tbl>
    <w:p w14:paraId="3B1B5F13">
      <w:pPr>
        <w:spacing w:line="360" w:lineRule="auto"/>
        <w:ind w:firstLine="422"/>
        <w:jc w:val="center"/>
        <w:rPr>
          <w:rFonts w:hint="eastAsia" w:ascii="宋体" w:hAnsi="宋体"/>
          <w:b/>
          <w:bCs/>
          <w:color w:val="auto"/>
          <w:highlight w:val="none"/>
        </w:rPr>
      </w:pPr>
    </w:p>
    <w:p w14:paraId="132E6F3B">
      <w:pPr>
        <w:spacing w:line="360" w:lineRule="auto"/>
        <w:ind w:firstLine="422"/>
        <w:jc w:val="center"/>
        <w:rPr>
          <w:rFonts w:hint="eastAsia" w:ascii="宋体" w:hAnsi="宋体"/>
          <w:b/>
          <w:bCs/>
          <w:color w:val="auto"/>
          <w:highlight w:val="none"/>
        </w:rPr>
      </w:pPr>
    </w:p>
    <w:p w14:paraId="070C73AA">
      <w:pPr>
        <w:spacing w:line="360" w:lineRule="auto"/>
        <w:ind w:firstLine="422"/>
        <w:jc w:val="center"/>
        <w:rPr>
          <w:rFonts w:hint="eastAsia" w:ascii="宋体" w:hAnsi="宋体"/>
          <w:b/>
          <w:bCs/>
          <w:color w:val="auto"/>
          <w:highlight w:val="none"/>
        </w:rPr>
        <w:sectPr>
          <w:footerReference r:id="rId6" w:type="default"/>
          <w:pgSz w:w="11906" w:h="16838"/>
          <w:pgMar w:top="1440" w:right="1800" w:bottom="1440" w:left="1800" w:header="851" w:footer="992" w:gutter="0"/>
          <w:pgNumType w:start="1"/>
          <w:cols w:space="1701" w:num="1"/>
          <w:docGrid w:linePitch="360" w:charSpace="0"/>
        </w:sectPr>
      </w:pPr>
    </w:p>
    <w:p w14:paraId="3B35DFB8">
      <w:pPr>
        <w:spacing w:line="360" w:lineRule="auto"/>
        <w:ind w:firstLine="422"/>
        <w:jc w:val="center"/>
        <w:rPr>
          <w:rFonts w:hint="eastAsia" w:ascii="宋体" w:hAnsi="宋体"/>
          <w:b/>
          <w:bCs/>
          <w:color w:val="auto"/>
          <w:highlight w:val="none"/>
        </w:rPr>
      </w:pPr>
      <w:r>
        <w:rPr>
          <w:rFonts w:hint="eastAsia" w:ascii="宋体" w:hAnsi="宋体"/>
          <w:b/>
          <w:bCs/>
          <w:color w:val="auto"/>
          <w:highlight w:val="none"/>
        </w:rPr>
        <w:t>具备履行合同所必需的设备和专业技术能力的书面声明</w:t>
      </w:r>
    </w:p>
    <w:p w14:paraId="737409CC">
      <w:pPr>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我单位郑重声明：我单位具备履行本项采购合同所必需的设备和专业技术能力，为履行本项采购合同我公司具备如下主要设备和主要专业技术能力：</w:t>
      </w:r>
    </w:p>
    <w:p w14:paraId="1F1B4C7F">
      <w:pPr>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主要设备有：。</w:t>
      </w:r>
    </w:p>
    <w:p w14:paraId="2667A7E6">
      <w:pPr>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主要专业技术能力有：。</w:t>
      </w:r>
    </w:p>
    <w:p w14:paraId="1EB338FC">
      <w:pPr>
        <w:spacing w:line="360" w:lineRule="auto"/>
        <w:ind w:firstLine="422"/>
        <w:jc w:val="center"/>
        <w:rPr>
          <w:rFonts w:hint="eastAsia" w:ascii="宋体" w:hAnsi="宋体"/>
          <w:b/>
          <w:bCs/>
          <w:color w:val="auto"/>
          <w:highlight w:val="none"/>
        </w:rPr>
      </w:pPr>
      <w:r>
        <w:rPr>
          <w:rFonts w:ascii="宋体" w:hAnsi="宋体"/>
          <w:b/>
          <w:bCs/>
          <w:color w:val="auto"/>
          <w:highlight w:val="none"/>
        </w:rPr>
        <w:br w:type="page" w:clear="all"/>
      </w:r>
      <w:r>
        <w:rPr>
          <w:rFonts w:hint="eastAsia" w:ascii="宋体" w:hAnsi="宋体"/>
          <w:b/>
          <w:bCs/>
          <w:color w:val="auto"/>
          <w:highlight w:val="none"/>
        </w:rPr>
        <w:t>参加本次政府采购活动前 3 年内在经营活动中没有重大违法记录的书面声明</w:t>
      </w:r>
    </w:p>
    <w:p w14:paraId="10436F01">
      <w:pPr>
        <w:spacing w:line="360" w:lineRule="auto"/>
        <w:ind w:firstLine="420"/>
        <w:rPr>
          <w:rFonts w:hint="eastAsia" w:ascii="宋体" w:hAnsi="宋体"/>
          <w:color w:val="auto"/>
          <w:highlight w:val="none"/>
        </w:rPr>
      </w:pPr>
    </w:p>
    <w:p w14:paraId="625C3051">
      <w:pPr>
        <w:spacing w:line="360" w:lineRule="auto"/>
        <w:ind w:firstLine="422"/>
        <w:jc w:val="center"/>
        <w:rPr>
          <w:rFonts w:hint="eastAsia" w:ascii="宋体" w:hAnsi="宋体"/>
          <w:b/>
          <w:bCs/>
          <w:color w:val="auto"/>
          <w:highlight w:val="none"/>
        </w:rPr>
      </w:pPr>
      <w:r>
        <w:rPr>
          <w:rFonts w:hint="eastAsia" w:ascii="宋体" w:hAnsi="宋体"/>
          <w:b/>
          <w:bCs/>
          <w:color w:val="auto"/>
          <w:highlight w:val="none"/>
        </w:rPr>
        <w:t>声  明</w:t>
      </w:r>
    </w:p>
    <w:p w14:paraId="2701F6B6">
      <w:pPr>
        <w:spacing w:line="360" w:lineRule="auto"/>
        <w:ind w:firstLine="420"/>
        <w:rPr>
          <w:rFonts w:hint="eastAsia" w:ascii="宋体" w:hAnsi="宋体"/>
          <w:bCs/>
          <w:color w:val="auto"/>
          <w:highlight w:val="none"/>
        </w:rPr>
      </w:pPr>
      <w:r>
        <w:rPr>
          <w:rFonts w:hint="eastAsia" w:ascii="宋体" w:hAnsi="宋体"/>
          <w:bCs/>
          <w:color w:val="auto"/>
          <w:highlight w:val="none"/>
        </w:rPr>
        <w:t>我公司郑重声明：参加本次政府采购活动前 3 年内，我公司在经营活动中没有因违法经营受到刑事处罚或者责令停产停业、吊销许可证或者执照、较大数额罚款等行政处罚。</w:t>
      </w:r>
    </w:p>
    <w:p w14:paraId="1151D33E">
      <w:pPr>
        <w:spacing w:line="360" w:lineRule="auto"/>
        <w:ind w:firstLine="420"/>
        <w:rPr>
          <w:rFonts w:hint="eastAsia" w:ascii="宋体" w:hAnsi="宋体"/>
          <w:bCs/>
          <w:color w:val="auto"/>
          <w:highlight w:val="none"/>
        </w:rPr>
      </w:pPr>
      <w:r>
        <w:rPr>
          <w:rFonts w:hint="eastAsia" w:ascii="宋体" w:hAnsi="宋体"/>
          <w:bCs/>
          <w:color w:val="auto"/>
          <w:highlight w:val="none"/>
        </w:rPr>
        <w:t xml:space="preserve">                               供应商名称（公章）：</w:t>
      </w:r>
    </w:p>
    <w:p w14:paraId="242EA7F0">
      <w:pPr>
        <w:spacing w:line="360" w:lineRule="auto"/>
        <w:ind w:firstLine="420"/>
        <w:rPr>
          <w:rFonts w:hint="eastAsia" w:ascii="宋体" w:hAnsi="宋体"/>
          <w:bCs/>
          <w:color w:val="auto"/>
          <w:highlight w:val="none"/>
        </w:rPr>
      </w:pPr>
      <w:r>
        <w:rPr>
          <w:rFonts w:hint="eastAsia" w:ascii="宋体" w:hAnsi="宋体"/>
          <w:bCs/>
          <w:color w:val="auto"/>
          <w:highlight w:val="none"/>
        </w:rPr>
        <w:t xml:space="preserve">                               法定代表人签章：</w:t>
      </w:r>
      <w:r>
        <w:rPr>
          <w:rFonts w:hint="eastAsia" w:ascii="宋体" w:hAnsi="宋体"/>
          <w:bCs/>
          <w:color w:val="auto"/>
          <w:highlight w:val="none"/>
          <w:u w:val="single"/>
        </w:rPr>
        <w:t>_______________________</w:t>
      </w:r>
    </w:p>
    <w:p w14:paraId="24E5967B">
      <w:pPr>
        <w:spacing w:line="360" w:lineRule="auto"/>
        <w:ind w:firstLine="420"/>
        <w:rPr>
          <w:rFonts w:hint="eastAsia" w:ascii="宋体" w:hAnsi="宋体"/>
          <w:bCs/>
          <w:color w:val="auto"/>
          <w:highlight w:val="none"/>
        </w:rPr>
      </w:pPr>
      <w:r>
        <w:rPr>
          <w:rFonts w:hint="eastAsia" w:ascii="宋体" w:hAnsi="宋体"/>
          <w:bCs/>
          <w:color w:val="auto"/>
          <w:highlight w:val="none"/>
        </w:rPr>
        <w:t xml:space="preserve">                               日期：</w:t>
      </w:r>
      <w:r>
        <w:rPr>
          <w:rFonts w:hint="eastAsia" w:ascii="宋体" w:hAnsi="宋体"/>
          <w:bCs/>
          <w:color w:val="auto"/>
          <w:highlight w:val="none"/>
          <w:u w:val="single"/>
        </w:rPr>
        <w:t>______</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2C61C597">
      <w:pPr>
        <w:spacing w:line="360" w:lineRule="auto"/>
        <w:ind w:firstLine="422"/>
        <w:rPr>
          <w:rFonts w:hint="eastAsia" w:ascii="宋体" w:hAnsi="宋体"/>
          <w:b/>
          <w:bCs/>
          <w:color w:val="auto"/>
          <w:highlight w:val="none"/>
        </w:rPr>
        <w:sectPr>
          <w:pgSz w:w="11906" w:h="16838"/>
          <w:pgMar w:top="1440" w:right="1800" w:bottom="1440" w:left="1800" w:header="851" w:footer="992" w:gutter="0"/>
          <w:cols w:space="1701" w:num="1"/>
          <w:docGrid w:linePitch="360" w:charSpace="0"/>
        </w:sectPr>
      </w:pPr>
    </w:p>
    <w:p w14:paraId="39F13E97">
      <w:pPr>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供应商信用承诺书</w:t>
      </w:r>
    </w:p>
    <w:p w14:paraId="4B6EBF63">
      <w:pPr>
        <w:spacing w:line="360" w:lineRule="auto"/>
        <w:ind w:firstLine="420"/>
        <w:rPr>
          <w:rFonts w:ascii="方正仿宋_GBK"/>
          <w:color w:val="auto"/>
          <w:szCs w:val="32"/>
          <w:highlight w:val="none"/>
        </w:rPr>
      </w:pPr>
    </w:p>
    <w:p w14:paraId="60BB47D1">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承诺主体名称：</w:t>
      </w:r>
    </w:p>
    <w:p w14:paraId="7C45FD71">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统一社会信用代码：</w:t>
      </w:r>
    </w:p>
    <w:p w14:paraId="605B5FE4">
      <w:pPr>
        <w:spacing w:line="360" w:lineRule="auto"/>
        <w:ind w:firstLine="420"/>
        <w:rPr>
          <w:rFonts w:hint="eastAsia" w:ascii="宋体" w:hAnsi="宋体"/>
          <w:color w:val="auto"/>
          <w:szCs w:val="21"/>
          <w:highlight w:val="none"/>
        </w:rPr>
      </w:pPr>
    </w:p>
    <w:p w14:paraId="4EDA6ABC">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26E4C02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一、对提供给注册登记部门、行业管理部门、司法部门、行业组织以及在政府采购活动中提交的所有资料的合法性、真实性、准确性和有效性负责；</w:t>
      </w:r>
    </w:p>
    <w:p w14:paraId="42EDF192">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二、严格按照国家法律、法规和规章开展采购活动，全面履行应尽的责任和义务，全面做到履约守信，具备《中华人民共和国政府采购法》第二十二条第一款规定的条件;</w:t>
      </w:r>
    </w:p>
    <w:p w14:paraId="7DC4E318">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三、严格依法开展生产经营活动，主动接受行业监管，自愿接受依法开展的日常检查；违法失信经营后将自愿接受约束和惩戒，并依法承担相应责任；</w:t>
      </w:r>
    </w:p>
    <w:p w14:paraId="221FD172">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四、自觉接受行政管理部门、行业组织、社会公众、新闻舆论的监督；</w:t>
      </w:r>
    </w:p>
    <w:p w14:paraId="3D49A46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五、自觉做到自我约束、自我管理，不制假售假、商标侵权、虚假宣传、违约毁约、恶意逃债、偷税漏税、垄断和不正当竞争，维护经营者、消费者的合法权益；</w:t>
      </w:r>
    </w:p>
    <w:p w14:paraId="084E925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六、提出政府采购质疑和投诉坚持依法依规、诚实信用原则，在全国范围12个月内没有三次以上查无实据的政府采购投诉；</w:t>
      </w:r>
    </w:p>
    <w:p w14:paraId="76556763">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七、严格遵守信用信息公示相关规定，向社会公示信用信息；</w:t>
      </w:r>
    </w:p>
    <w:p w14:paraId="3470D0A1">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八、在“信用中国”和“中国政府采购网”网站中无违法违规、较重或严重失信记录；</w:t>
      </w:r>
    </w:p>
    <w:p w14:paraId="1F07B2B2">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41F3AE4F">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十、本承诺书自签订之日起生效。</w:t>
      </w:r>
    </w:p>
    <w:p w14:paraId="22BA6B75">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 （注：法定代表人或负责人、主体名称发生变更的应当重新做出承诺。）</w:t>
      </w:r>
    </w:p>
    <w:p w14:paraId="2239C8C3">
      <w:pPr>
        <w:spacing w:line="360" w:lineRule="auto"/>
        <w:ind w:firstLine="420"/>
        <w:jc w:val="center"/>
        <w:rPr>
          <w:rFonts w:hint="eastAsia" w:ascii="宋体" w:hAnsi="宋体"/>
          <w:color w:val="auto"/>
          <w:szCs w:val="21"/>
          <w:highlight w:val="none"/>
        </w:rPr>
      </w:pPr>
      <w:r>
        <w:rPr>
          <w:rFonts w:hint="eastAsia" w:ascii="宋体" w:hAnsi="宋体"/>
          <w:color w:val="auto"/>
          <w:szCs w:val="21"/>
          <w:highlight w:val="none"/>
        </w:rPr>
        <w:t xml:space="preserve">　　　　　　　　　　        承诺单位（签章）：           </w:t>
      </w:r>
    </w:p>
    <w:p w14:paraId="0BA0D542">
      <w:pPr>
        <w:spacing w:line="360" w:lineRule="auto"/>
        <w:ind w:firstLine="420"/>
        <w:jc w:val="center"/>
        <w:rPr>
          <w:rFonts w:hint="eastAsia" w:ascii="宋体" w:hAnsi="宋体"/>
          <w:color w:val="auto"/>
          <w:szCs w:val="21"/>
          <w:highlight w:val="none"/>
        </w:rPr>
      </w:pPr>
      <w:r>
        <w:rPr>
          <w:rFonts w:hint="eastAsia" w:ascii="宋体" w:hAnsi="宋体"/>
          <w:color w:val="auto"/>
          <w:szCs w:val="21"/>
          <w:highlight w:val="none"/>
        </w:rPr>
        <w:t>　　　　　　　　　   　  法定代表人（负责人）：</w:t>
      </w:r>
    </w:p>
    <w:p w14:paraId="16FED5A2">
      <w:pPr>
        <w:spacing w:line="360" w:lineRule="auto"/>
        <w:ind w:firstLine="420"/>
        <w:jc w:val="center"/>
        <w:rPr>
          <w:rFonts w:hint="eastAsia" w:ascii="宋体" w:hAnsi="宋体"/>
          <w:color w:val="auto"/>
          <w:szCs w:val="21"/>
          <w:highlight w:val="none"/>
        </w:rPr>
      </w:pPr>
      <w:r>
        <w:rPr>
          <w:rFonts w:hint="eastAsia" w:ascii="宋体" w:hAnsi="宋体"/>
          <w:color w:val="auto"/>
          <w:szCs w:val="21"/>
          <w:highlight w:val="none"/>
        </w:rPr>
        <w:t>　　　　　　　　　      　年    月    日</w:t>
      </w:r>
    </w:p>
    <w:p w14:paraId="1BDFA4B3">
      <w:pPr>
        <w:spacing w:line="360" w:lineRule="auto"/>
        <w:ind w:firstLine="422"/>
        <w:jc w:val="center"/>
        <w:rPr>
          <w:rFonts w:hint="eastAsia" w:ascii="宋体" w:hAnsi="宋体"/>
          <w:b/>
          <w:bCs/>
          <w:color w:val="auto"/>
          <w:highlight w:val="none"/>
        </w:rPr>
        <w:sectPr>
          <w:pgSz w:w="11906" w:h="16838"/>
          <w:pgMar w:top="1440" w:right="1800" w:bottom="1440" w:left="1800" w:header="851" w:footer="992" w:gutter="0"/>
          <w:cols w:space="1701" w:num="1"/>
          <w:docGrid w:linePitch="360" w:charSpace="0"/>
        </w:sectPr>
      </w:pPr>
    </w:p>
    <w:p w14:paraId="3A53F363">
      <w:pPr>
        <w:spacing w:line="360" w:lineRule="auto"/>
        <w:ind w:firstLine="422"/>
        <w:jc w:val="center"/>
        <w:rPr>
          <w:rFonts w:hint="eastAsia" w:ascii="宋体" w:hAnsi="宋体"/>
          <w:b/>
          <w:color w:val="auto"/>
          <w:highlight w:val="none"/>
        </w:rPr>
      </w:pPr>
      <w:r>
        <w:rPr>
          <w:rFonts w:hint="eastAsia" w:ascii="宋体" w:hAnsi="宋体"/>
          <w:b/>
          <w:color w:val="auto"/>
          <w:highlight w:val="none"/>
        </w:rPr>
        <w:t>磋商响应函</w:t>
      </w:r>
    </w:p>
    <w:p w14:paraId="2CED884C">
      <w:pPr>
        <w:pStyle w:val="278"/>
        <w:spacing w:line="360" w:lineRule="auto"/>
        <w:ind w:firstLine="420"/>
        <w:rPr>
          <w:rFonts w:hint="eastAsia" w:ascii="宋体" w:hAnsi="宋体" w:eastAsia="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lang w:eastAsia="zh-CN"/>
        </w:rPr>
        <w:t>江苏弘业国际技术工程有限公司</w:t>
      </w:r>
    </w:p>
    <w:p w14:paraId="4739EFEA">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根据贵方的号磋商文件，正式授权下述签字人_________ (姓名和职务)代表我方______________（供应商的名称），全权处理本次项目磋商采购的有关事宜。</w:t>
      </w:r>
    </w:p>
    <w:p w14:paraId="66102105">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据此函，__________（签字人）兹宣布同意如下：</w:t>
      </w:r>
    </w:p>
    <w:p w14:paraId="485957ED">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1.按磋商文件规定的各项要求，向买方提供所需服务（工程）。</w:t>
      </w:r>
    </w:p>
    <w:p w14:paraId="49FB7F4A">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2.我们已详细审核全部磋商文件及其有效补充文件，我们知道必须放弃提出含糊不清或误解问题的权利。</w:t>
      </w:r>
    </w:p>
    <w:p w14:paraId="1F7C3069">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3.我们同意从规定的响应文件接收截止时间起遵循本响应文件，并在规定的磋商有效期期满之前均具有约束力。</w:t>
      </w:r>
    </w:p>
    <w:p w14:paraId="00F04A5D">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4.同意向贵方提供贵方可能另外要求的与磋商采购有关的任何证据或资料，并保证我方已提供和将要提供的文件是真实的、准确的。</w:t>
      </w:r>
    </w:p>
    <w:p w14:paraId="523BBD38">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5.一旦我方成交，我方将根据磋商文件的规定，严格履行合同的责任和义务，并保证在磋商文件规定的时间完成项目，交付买方验收、使用。</w:t>
      </w:r>
    </w:p>
    <w:p w14:paraId="032B99EB">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6.遵守磋商文件中要求的收费项目和标准。</w:t>
      </w:r>
    </w:p>
    <w:p w14:paraId="06C729F6">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7.与本磋商采购有关的正式通讯地址为：</w:t>
      </w:r>
    </w:p>
    <w:p w14:paraId="57DC6776">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地 址：                         邮 编：</w:t>
      </w:r>
    </w:p>
    <w:p w14:paraId="73D4FD88">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电 话：                         传 真：</w:t>
      </w:r>
    </w:p>
    <w:p w14:paraId="7CDA54D1">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供应商开户行：                  账 户： </w:t>
      </w:r>
    </w:p>
    <w:p w14:paraId="4AAF29AD">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法定代表人姓名（签章）：         联系电话：</w:t>
      </w:r>
    </w:p>
    <w:p w14:paraId="5587B55B">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供应商名称（公章）：            </w:t>
      </w:r>
    </w:p>
    <w:p w14:paraId="530E2B00">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日 期：________年____月____日</w:t>
      </w:r>
    </w:p>
    <w:p w14:paraId="737054BB">
      <w:pPr>
        <w:pStyle w:val="278"/>
        <w:spacing w:line="360" w:lineRule="auto"/>
        <w:ind w:firstLine="422"/>
        <w:jc w:val="center"/>
        <w:rPr>
          <w:rFonts w:hint="eastAsia" w:ascii="宋体" w:hAnsi="宋体"/>
          <w:b/>
          <w:color w:val="auto"/>
          <w:sz w:val="21"/>
          <w:szCs w:val="21"/>
          <w:highlight w:val="none"/>
        </w:rPr>
      </w:pPr>
      <w:r>
        <w:rPr>
          <w:rFonts w:ascii="宋体" w:hAnsi="宋体"/>
          <w:b/>
          <w:color w:val="auto"/>
          <w:sz w:val="21"/>
          <w:szCs w:val="21"/>
          <w:highlight w:val="none"/>
        </w:rPr>
        <w:br w:type="page" w:clear="all"/>
      </w:r>
      <w:r>
        <w:rPr>
          <w:rFonts w:hint="eastAsia" w:ascii="宋体" w:hAnsi="宋体"/>
          <w:b/>
          <w:color w:val="auto"/>
          <w:sz w:val="21"/>
          <w:szCs w:val="21"/>
          <w:highlight w:val="none"/>
        </w:rPr>
        <w:t>法人授权书</w:t>
      </w:r>
    </w:p>
    <w:p w14:paraId="3193B53E">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本授权书声明：</w:t>
      </w:r>
      <w:r>
        <w:rPr>
          <w:rFonts w:ascii="宋体" w:hAnsi="宋体"/>
          <w:color w:val="auto"/>
          <w:sz w:val="21"/>
          <w:szCs w:val="21"/>
          <w:highlight w:val="none"/>
        </w:rPr>
        <w:t>________________</w:t>
      </w:r>
      <w:r>
        <w:rPr>
          <w:rFonts w:hint="eastAsia" w:ascii="宋体" w:hAnsi="宋体"/>
          <w:color w:val="auto"/>
          <w:sz w:val="21"/>
          <w:szCs w:val="21"/>
          <w:highlight w:val="none"/>
        </w:rPr>
        <w:t>（供应商名称）授权</w:t>
      </w:r>
      <w:r>
        <w:rPr>
          <w:rFonts w:ascii="宋体" w:hAnsi="宋体"/>
          <w:color w:val="auto"/>
          <w:sz w:val="21"/>
          <w:szCs w:val="21"/>
          <w:highlight w:val="none"/>
        </w:rPr>
        <w:t>________________</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（项目编号）</w:t>
      </w:r>
      <w:r>
        <w:rPr>
          <w:rFonts w:hint="eastAsia" w:ascii="宋体" w:hAnsi="宋体"/>
          <w:color w:val="auto"/>
          <w:sz w:val="21"/>
          <w:szCs w:val="21"/>
          <w:highlight w:val="none"/>
        </w:rPr>
        <w:t>号</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lang w:eastAsia="zh-CN"/>
        </w:rPr>
        <w:t>项目</w:t>
      </w:r>
      <w:r>
        <w:rPr>
          <w:rFonts w:hint="eastAsia" w:ascii="宋体" w:hAnsi="宋体"/>
          <w:color w:val="auto"/>
          <w:sz w:val="21"/>
          <w:szCs w:val="21"/>
          <w:highlight w:val="none"/>
        </w:rPr>
        <w:t>采购活动的合法代理人，以本公司名义全权处理一切与该项目采购有关的事务。</w:t>
      </w:r>
    </w:p>
    <w:p w14:paraId="1031129D">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本授权书于</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w:t>
      </w:r>
      <w:r>
        <w:rPr>
          <w:rFonts w:hint="eastAsia" w:ascii="宋体" w:hAnsi="宋体"/>
          <w:color w:val="auto"/>
          <w:sz w:val="21"/>
          <w:szCs w:val="21"/>
          <w:highlight w:val="none"/>
        </w:rPr>
        <w:t>月</w:t>
      </w:r>
      <w:r>
        <w:rPr>
          <w:rFonts w:ascii="宋体" w:hAnsi="宋体"/>
          <w:color w:val="auto"/>
          <w:sz w:val="21"/>
          <w:szCs w:val="21"/>
          <w:highlight w:val="none"/>
        </w:rPr>
        <w:t>____</w:t>
      </w:r>
      <w:r>
        <w:rPr>
          <w:rFonts w:hint="eastAsia" w:ascii="宋体" w:hAnsi="宋体"/>
          <w:color w:val="auto"/>
          <w:sz w:val="21"/>
          <w:szCs w:val="21"/>
          <w:highlight w:val="none"/>
        </w:rPr>
        <w:t>日起生效，特此声明。</w:t>
      </w:r>
    </w:p>
    <w:p w14:paraId="392AD09C">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被授权人姓名：</w:t>
      </w:r>
      <w:r>
        <w:rPr>
          <w:rFonts w:ascii="宋体" w:hAnsi="宋体"/>
          <w:color w:val="auto"/>
          <w:sz w:val="21"/>
          <w:szCs w:val="21"/>
          <w:highlight w:val="none"/>
        </w:rPr>
        <w:t>_______________________</w:t>
      </w:r>
    </w:p>
    <w:p w14:paraId="5E3C3473">
      <w:pPr>
        <w:pStyle w:val="278"/>
        <w:spacing w:line="360" w:lineRule="auto"/>
        <w:ind w:firstLine="420"/>
        <w:rPr>
          <w:rFonts w:hint="eastAsia" w:ascii="宋体" w:hAnsi="宋体"/>
          <w:color w:val="auto"/>
          <w:sz w:val="21"/>
          <w:szCs w:val="21"/>
          <w:highlight w:val="none"/>
          <w:u w:val="single"/>
        </w:rPr>
      </w:pPr>
      <w:r>
        <w:rPr>
          <w:rFonts w:hint="eastAsia" w:ascii="宋体" w:hAnsi="宋体"/>
          <w:color w:val="auto"/>
          <w:sz w:val="21"/>
          <w:szCs w:val="21"/>
          <w:highlight w:val="none"/>
        </w:rPr>
        <w:t>联系电话（手机）：</w:t>
      </w:r>
    </w:p>
    <w:p w14:paraId="02D82B18">
      <w:pPr>
        <w:pStyle w:val="278"/>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单位名称：</w:t>
      </w:r>
      <w:r>
        <w:rPr>
          <w:rFonts w:ascii="宋体" w:hAnsi="宋体"/>
          <w:color w:val="auto"/>
          <w:sz w:val="21"/>
          <w:szCs w:val="21"/>
          <w:highlight w:val="none"/>
        </w:rPr>
        <w:t>____________________________________</w:t>
      </w:r>
    </w:p>
    <w:p w14:paraId="1C0603E9">
      <w:pPr>
        <w:pStyle w:val="278"/>
        <w:spacing w:line="360" w:lineRule="auto"/>
        <w:ind w:firstLine="420"/>
        <w:rPr>
          <w:color w:val="auto"/>
          <w:sz w:val="21"/>
          <w:szCs w:val="21"/>
          <w:highlight w:val="none"/>
          <w:u w:val="single"/>
        </w:rPr>
      </w:pPr>
      <w:r>
        <w:rPr>
          <w:rFonts w:hint="eastAsia"/>
          <w:color w:val="auto"/>
          <w:sz w:val="21"/>
          <w:szCs w:val="21"/>
          <w:highlight w:val="none"/>
        </w:rPr>
        <w:t>单位地址：</w:t>
      </w:r>
    </w:p>
    <w:p w14:paraId="7967F854">
      <w:pPr>
        <w:pStyle w:val="278"/>
        <w:spacing w:line="360" w:lineRule="auto"/>
        <w:ind w:firstLine="420"/>
        <w:rPr>
          <w:color w:val="auto"/>
          <w:sz w:val="21"/>
          <w:szCs w:val="21"/>
          <w:highlight w:val="none"/>
        </w:rPr>
      </w:pPr>
      <w:r>
        <w:rPr>
          <w:rFonts w:hint="eastAsia"/>
          <w:color w:val="auto"/>
          <w:sz w:val="21"/>
          <w:szCs w:val="21"/>
          <w:highlight w:val="none"/>
        </w:rPr>
        <w:t>日期：</w:t>
      </w:r>
    </w:p>
    <w:p w14:paraId="62AAAC50">
      <w:pPr>
        <w:spacing w:line="360" w:lineRule="auto"/>
        <w:ind w:firstLine="420"/>
        <w:rPr>
          <w:rFonts w:hint="eastAsia" w:ascii="宋体" w:hAnsi="宋体"/>
          <w:bCs/>
          <w:color w:val="auto"/>
          <w:highlight w:val="none"/>
        </w:rPr>
      </w:pPr>
    </w:p>
    <w:p w14:paraId="41204B3F">
      <w:pPr>
        <w:spacing w:line="360" w:lineRule="auto"/>
        <w:ind w:firstLine="420"/>
        <w:rPr>
          <w:rFonts w:hint="eastAsia" w:ascii="宋体" w:hAnsi="宋体"/>
          <w:bCs/>
          <w:color w:val="auto"/>
          <w:highlight w:val="none"/>
        </w:rPr>
        <w:sectPr>
          <w:pgSz w:w="11906" w:h="16838"/>
          <w:pgMar w:top="1440" w:right="1800" w:bottom="1440" w:left="1800" w:header="851" w:footer="992" w:gutter="0"/>
          <w:cols w:space="1701" w:num="1"/>
          <w:docGrid w:linePitch="360" w:charSpace="0"/>
        </w:sectPr>
      </w:pPr>
      <w:r>
        <w:rPr>
          <w:rFonts w:hint="eastAsia" w:ascii="宋体" w:hAnsi="宋体"/>
          <w:bCs/>
          <w:color w:val="auto"/>
          <w:highlight w:val="none"/>
        </w:rPr>
        <w:t>被授权人身份证复印件</w:t>
      </w:r>
    </w:p>
    <w:p w14:paraId="09671471">
      <w:pPr>
        <w:numPr>
          <w:ilvl w:val="0"/>
          <w:numId w:val="13"/>
        </w:num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符合性审查响应对照表</w:t>
      </w:r>
    </w:p>
    <w:tbl>
      <w:tblPr>
        <w:tblStyle w:val="37"/>
        <w:tblW w:w="879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792"/>
        <w:gridCol w:w="2006"/>
        <w:gridCol w:w="1348"/>
      </w:tblGrid>
      <w:tr w14:paraId="729DB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noWrap/>
            <w:vAlign w:val="center"/>
          </w:tcPr>
          <w:p w14:paraId="3D929FAE">
            <w:pPr>
              <w:spacing w:line="360" w:lineRule="auto"/>
              <w:jc w:val="center"/>
              <w:rPr>
                <w:rFonts w:ascii="幼圆" w:eastAsia="幼圆"/>
                <w:b/>
                <w:color w:val="auto"/>
                <w:szCs w:val="21"/>
                <w:highlight w:val="none"/>
              </w:rPr>
            </w:pPr>
            <w:r>
              <w:rPr>
                <w:rFonts w:hint="eastAsia" w:ascii="幼圆" w:eastAsia="幼圆"/>
                <w:b/>
                <w:color w:val="auto"/>
                <w:szCs w:val="21"/>
                <w:highlight w:val="none"/>
              </w:rPr>
              <w:t>序号</w:t>
            </w:r>
          </w:p>
        </w:tc>
        <w:tc>
          <w:tcPr>
            <w:tcW w:w="4792" w:type="dxa"/>
            <w:noWrap/>
            <w:vAlign w:val="center"/>
          </w:tcPr>
          <w:p w14:paraId="6DF86852">
            <w:pPr>
              <w:spacing w:line="360" w:lineRule="auto"/>
              <w:jc w:val="center"/>
              <w:rPr>
                <w:rFonts w:ascii="幼圆" w:eastAsia="幼圆"/>
                <w:b/>
                <w:color w:val="auto"/>
                <w:szCs w:val="21"/>
                <w:highlight w:val="none"/>
              </w:rPr>
            </w:pPr>
            <w:r>
              <w:rPr>
                <w:rFonts w:hint="eastAsia" w:ascii="幼圆" w:eastAsia="幼圆"/>
                <w:b/>
                <w:color w:val="auto"/>
                <w:szCs w:val="21"/>
                <w:highlight w:val="none"/>
              </w:rPr>
              <w:t>符合性审查响应内容</w:t>
            </w:r>
          </w:p>
        </w:tc>
        <w:tc>
          <w:tcPr>
            <w:tcW w:w="2006" w:type="dxa"/>
            <w:noWrap/>
            <w:vAlign w:val="center"/>
          </w:tcPr>
          <w:p w14:paraId="14CA75BF">
            <w:pPr>
              <w:spacing w:line="360" w:lineRule="auto"/>
              <w:jc w:val="center"/>
              <w:rPr>
                <w:rFonts w:ascii="幼圆" w:eastAsia="幼圆"/>
                <w:b/>
                <w:color w:val="auto"/>
                <w:szCs w:val="21"/>
                <w:highlight w:val="none"/>
              </w:rPr>
            </w:pPr>
            <w:r>
              <w:rPr>
                <w:rFonts w:hint="eastAsia" w:ascii="幼圆" w:eastAsia="幼圆"/>
                <w:b/>
                <w:color w:val="auto"/>
                <w:szCs w:val="21"/>
                <w:highlight w:val="none"/>
              </w:rPr>
              <w:t>是否响应</w:t>
            </w:r>
          </w:p>
          <w:p w14:paraId="15FC3D4B">
            <w:pPr>
              <w:spacing w:line="360" w:lineRule="auto"/>
              <w:jc w:val="center"/>
              <w:rPr>
                <w:rFonts w:ascii="幼圆" w:eastAsia="幼圆"/>
                <w:b/>
                <w:color w:val="auto"/>
                <w:szCs w:val="21"/>
                <w:highlight w:val="none"/>
              </w:rPr>
            </w:pPr>
            <w:r>
              <w:rPr>
                <w:rFonts w:hint="eastAsia" w:ascii="幼圆" w:eastAsia="幼圆"/>
                <w:b/>
                <w:color w:val="auto"/>
                <w:szCs w:val="21"/>
                <w:highlight w:val="none"/>
              </w:rPr>
              <w:t>（填是或者否）</w:t>
            </w:r>
          </w:p>
        </w:tc>
        <w:tc>
          <w:tcPr>
            <w:tcW w:w="1348" w:type="dxa"/>
            <w:noWrap/>
            <w:vAlign w:val="center"/>
          </w:tcPr>
          <w:p w14:paraId="40353E8A">
            <w:pPr>
              <w:spacing w:line="360" w:lineRule="auto"/>
              <w:jc w:val="center"/>
              <w:rPr>
                <w:rFonts w:ascii="幼圆" w:eastAsia="幼圆"/>
                <w:b/>
                <w:color w:val="auto"/>
                <w:szCs w:val="21"/>
                <w:highlight w:val="none"/>
              </w:rPr>
            </w:pPr>
            <w:r>
              <w:rPr>
                <w:rFonts w:hint="eastAsia" w:ascii="幼圆" w:eastAsia="幼圆"/>
                <w:b/>
                <w:color w:val="auto"/>
                <w:szCs w:val="21"/>
                <w:highlight w:val="none"/>
              </w:rPr>
              <w:t>响应情况</w:t>
            </w:r>
          </w:p>
        </w:tc>
      </w:tr>
      <w:tr w14:paraId="62E6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ign w:val="center"/>
          </w:tcPr>
          <w:p w14:paraId="18AA459D">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1</w:t>
            </w:r>
          </w:p>
        </w:tc>
        <w:tc>
          <w:tcPr>
            <w:tcW w:w="4792" w:type="dxa"/>
            <w:noWrap/>
            <w:vAlign w:val="center"/>
          </w:tcPr>
          <w:p w14:paraId="4FA9CB35">
            <w:pPr>
              <w:spacing w:line="360" w:lineRule="auto"/>
              <w:rPr>
                <w:rFonts w:hint="eastAsia" w:ascii="宋体" w:hAnsi="宋体"/>
                <w:iCs/>
                <w:color w:val="auto"/>
                <w:szCs w:val="21"/>
                <w:highlight w:val="none"/>
              </w:rPr>
            </w:pPr>
            <w:r>
              <w:rPr>
                <w:rFonts w:hint="eastAsia" w:ascii="宋体" w:hAnsi="宋体"/>
                <w:iCs/>
                <w:color w:val="auto"/>
                <w:szCs w:val="21"/>
                <w:highlight w:val="none"/>
              </w:rPr>
              <w:t>采购需求中必须满足的实质性要求（即加斜体下划线内容，每条详细列出）</w:t>
            </w:r>
          </w:p>
        </w:tc>
        <w:tc>
          <w:tcPr>
            <w:tcW w:w="2006" w:type="dxa"/>
            <w:noWrap/>
            <w:vAlign w:val="center"/>
          </w:tcPr>
          <w:p w14:paraId="692ACAAD">
            <w:pPr>
              <w:spacing w:line="360" w:lineRule="auto"/>
              <w:rPr>
                <w:rFonts w:hint="eastAsia" w:ascii="宋体" w:hAnsi="宋体"/>
                <w:b/>
                <w:color w:val="auto"/>
                <w:szCs w:val="21"/>
                <w:highlight w:val="none"/>
              </w:rPr>
            </w:pPr>
          </w:p>
        </w:tc>
        <w:tc>
          <w:tcPr>
            <w:tcW w:w="1348" w:type="dxa"/>
            <w:noWrap/>
            <w:vAlign w:val="center"/>
          </w:tcPr>
          <w:p w14:paraId="15222D30">
            <w:pPr>
              <w:spacing w:line="360" w:lineRule="auto"/>
              <w:rPr>
                <w:rFonts w:hint="eastAsia" w:ascii="宋体" w:hAnsi="宋体"/>
                <w:b/>
                <w:color w:val="auto"/>
                <w:szCs w:val="21"/>
                <w:highlight w:val="none"/>
              </w:rPr>
            </w:pPr>
          </w:p>
        </w:tc>
      </w:tr>
      <w:tr w14:paraId="014E3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ign w:val="center"/>
          </w:tcPr>
          <w:p w14:paraId="0B00DB45">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4792" w:type="dxa"/>
            <w:noWrap/>
            <w:vAlign w:val="center"/>
          </w:tcPr>
          <w:p w14:paraId="7F001F35">
            <w:pPr>
              <w:spacing w:line="360" w:lineRule="auto"/>
              <w:rPr>
                <w:rFonts w:hint="eastAsia" w:ascii="宋体" w:hAnsi="宋体"/>
                <w:iCs/>
                <w:color w:val="auto"/>
                <w:szCs w:val="21"/>
                <w:highlight w:val="none"/>
              </w:rPr>
            </w:pPr>
            <w:r>
              <w:rPr>
                <w:rFonts w:ascii="宋体" w:hAnsi="宋体"/>
                <w:iCs/>
                <w:color w:val="auto"/>
                <w:szCs w:val="21"/>
                <w:highlight w:val="none"/>
              </w:rPr>
              <w:t>……</w:t>
            </w:r>
          </w:p>
        </w:tc>
        <w:tc>
          <w:tcPr>
            <w:tcW w:w="2006" w:type="dxa"/>
            <w:noWrap/>
            <w:vAlign w:val="center"/>
          </w:tcPr>
          <w:p w14:paraId="3B4DFC24">
            <w:pPr>
              <w:spacing w:line="360" w:lineRule="auto"/>
              <w:rPr>
                <w:rFonts w:hint="eastAsia" w:ascii="宋体" w:hAnsi="宋体"/>
                <w:color w:val="auto"/>
                <w:szCs w:val="21"/>
                <w:highlight w:val="none"/>
              </w:rPr>
            </w:pPr>
          </w:p>
        </w:tc>
        <w:tc>
          <w:tcPr>
            <w:tcW w:w="1348" w:type="dxa"/>
            <w:noWrap/>
            <w:vAlign w:val="center"/>
          </w:tcPr>
          <w:p w14:paraId="3FCF6DAD">
            <w:pPr>
              <w:spacing w:line="360" w:lineRule="auto"/>
              <w:rPr>
                <w:rFonts w:hint="eastAsia" w:ascii="宋体" w:hAnsi="宋体"/>
                <w:color w:val="auto"/>
                <w:szCs w:val="21"/>
                <w:highlight w:val="none"/>
              </w:rPr>
            </w:pPr>
          </w:p>
        </w:tc>
      </w:tr>
      <w:tr w14:paraId="64F1A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ign w:val="center"/>
          </w:tcPr>
          <w:p w14:paraId="211A80A3">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4792" w:type="dxa"/>
            <w:noWrap/>
            <w:vAlign w:val="center"/>
          </w:tcPr>
          <w:p w14:paraId="247D84A1">
            <w:pPr>
              <w:spacing w:line="360" w:lineRule="auto"/>
              <w:rPr>
                <w:rFonts w:hint="eastAsia" w:ascii="宋体" w:hAnsi="宋体"/>
                <w:iCs/>
                <w:color w:val="auto"/>
                <w:szCs w:val="21"/>
                <w:highlight w:val="none"/>
              </w:rPr>
            </w:pPr>
          </w:p>
        </w:tc>
        <w:tc>
          <w:tcPr>
            <w:tcW w:w="2006" w:type="dxa"/>
            <w:noWrap/>
            <w:vAlign w:val="center"/>
          </w:tcPr>
          <w:p w14:paraId="2B1DDE8D">
            <w:pPr>
              <w:spacing w:line="360" w:lineRule="auto"/>
              <w:rPr>
                <w:rFonts w:hint="eastAsia" w:ascii="宋体" w:hAnsi="宋体"/>
                <w:color w:val="auto"/>
                <w:szCs w:val="21"/>
                <w:highlight w:val="none"/>
              </w:rPr>
            </w:pPr>
          </w:p>
        </w:tc>
        <w:tc>
          <w:tcPr>
            <w:tcW w:w="1348" w:type="dxa"/>
            <w:noWrap/>
            <w:vAlign w:val="center"/>
          </w:tcPr>
          <w:p w14:paraId="683C18FF">
            <w:pPr>
              <w:spacing w:line="360" w:lineRule="auto"/>
              <w:rPr>
                <w:rFonts w:hint="eastAsia" w:ascii="宋体" w:hAnsi="宋体"/>
                <w:color w:val="auto"/>
                <w:szCs w:val="21"/>
                <w:highlight w:val="none"/>
              </w:rPr>
            </w:pPr>
          </w:p>
        </w:tc>
      </w:tr>
      <w:tr w14:paraId="5727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46" w:type="dxa"/>
            <w:noWrap/>
            <w:vAlign w:val="center"/>
          </w:tcPr>
          <w:p w14:paraId="466A2A86">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4792" w:type="dxa"/>
            <w:noWrap/>
            <w:vAlign w:val="center"/>
          </w:tcPr>
          <w:p w14:paraId="12467D6A">
            <w:pPr>
              <w:spacing w:line="360" w:lineRule="auto"/>
              <w:rPr>
                <w:rFonts w:hint="eastAsia" w:ascii="宋体" w:hAnsi="宋体"/>
                <w:iCs/>
                <w:color w:val="auto"/>
                <w:szCs w:val="21"/>
                <w:highlight w:val="none"/>
              </w:rPr>
            </w:pPr>
          </w:p>
        </w:tc>
        <w:tc>
          <w:tcPr>
            <w:tcW w:w="2006" w:type="dxa"/>
            <w:noWrap/>
            <w:vAlign w:val="center"/>
          </w:tcPr>
          <w:p w14:paraId="15BA01B1">
            <w:pPr>
              <w:spacing w:line="360" w:lineRule="auto"/>
              <w:rPr>
                <w:rFonts w:hint="eastAsia" w:ascii="宋体" w:hAnsi="宋体"/>
                <w:color w:val="auto"/>
                <w:szCs w:val="21"/>
                <w:highlight w:val="none"/>
              </w:rPr>
            </w:pPr>
          </w:p>
        </w:tc>
        <w:tc>
          <w:tcPr>
            <w:tcW w:w="1348" w:type="dxa"/>
            <w:noWrap/>
            <w:vAlign w:val="center"/>
          </w:tcPr>
          <w:p w14:paraId="4D0F6F89">
            <w:pPr>
              <w:spacing w:line="360" w:lineRule="auto"/>
              <w:rPr>
                <w:rFonts w:hint="eastAsia" w:ascii="宋体" w:hAnsi="宋体"/>
                <w:color w:val="auto"/>
                <w:szCs w:val="21"/>
                <w:highlight w:val="none"/>
              </w:rPr>
            </w:pPr>
          </w:p>
        </w:tc>
      </w:tr>
      <w:tr w14:paraId="0054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ign w:val="center"/>
          </w:tcPr>
          <w:p w14:paraId="29DE259D">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4792" w:type="dxa"/>
            <w:noWrap/>
            <w:vAlign w:val="center"/>
          </w:tcPr>
          <w:p w14:paraId="151C53C5">
            <w:pPr>
              <w:spacing w:line="360" w:lineRule="auto"/>
              <w:rPr>
                <w:rFonts w:hint="eastAsia" w:ascii="宋体" w:hAnsi="宋体"/>
                <w:iCs/>
                <w:color w:val="auto"/>
                <w:szCs w:val="21"/>
                <w:highlight w:val="none"/>
              </w:rPr>
            </w:pPr>
          </w:p>
        </w:tc>
        <w:tc>
          <w:tcPr>
            <w:tcW w:w="2006" w:type="dxa"/>
            <w:noWrap/>
            <w:vAlign w:val="center"/>
          </w:tcPr>
          <w:p w14:paraId="114BD6D6">
            <w:pPr>
              <w:spacing w:line="360" w:lineRule="auto"/>
              <w:rPr>
                <w:rFonts w:hint="eastAsia" w:ascii="宋体" w:hAnsi="宋体"/>
                <w:color w:val="auto"/>
                <w:szCs w:val="21"/>
                <w:highlight w:val="none"/>
              </w:rPr>
            </w:pPr>
          </w:p>
        </w:tc>
        <w:tc>
          <w:tcPr>
            <w:tcW w:w="1348" w:type="dxa"/>
            <w:noWrap/>
            <w:vAlign w:val="center"/>
          </w:tcPr>
          <w:p w14:paraId="6F1EA197">
            <w:pPr>
              <w:spacing w:line="360" w:lineRule="auto"/>
              <w:rPr>
                <w:rFonts w:hint="eastAsia" w:ascii="宋体" w:hAnsi="宋体"/>
                <w:color w:val="auto"/>
                <w:szCs w:val="21"/>
                <w:highlight w:val="none"/>
              </w:rPr>
            </w:pPr>
          </w:p>
        </w:tc>
      </w:tr>
    </w:tbl>
    <w:p w14:paraId="1C2C59CD">
      <w:pPr>
        <w:spacing w:line="360" w:lineRule="auto"/>
        <w:ind w:firstLine="643"/>
        <w:contextualSpacing/>
        <w:jc w:val="center"/>
        <w:rPr>
          <w:rFonts w:hint="eastAsia" w:ascii="宋体" w:hAnsi="宋体"/>
          <w:b/>
          <w:bCs/>
          <w:color w:val="auto"/>
          <w:sz w:val="32"/>
          <w:szCs w:val="32"/>
          <w:highlight w:val="none"/>
        </w:rPr>
      </w:pPr>
      <w:r>
        <w:rPr>
          <w:rFonts w:ascii="宋体" w:hAnsi="宋体"/>
          <w:b/>
          <w:bCs/>
          <w:color w:val="auto"/>
          <w:sz w:val="32"/>
          <w:szCs w:val="32"/>
          <w:highlight w:val="none"/>
        </w:rPr>
        <w:br w:type="page" w:clear="all"/>
      </w:r>
    </w:p>
    <w:p w14:paraId="04750623">
      <w:pPr>
        <w:numPr>
          <w:ilvl w:val="0"/>
          <w:numId w:val="13"/>
        </w:num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非实质性响应对照表</w:t>
      </w:r>
    </w:p>
    <w:p w14:paraId="37EB0545">
      <w:pPr>
        <w:spacing w:line="360" w:lineRule="auto"/>
        <w:ind w:firstLine="643"/>
        <w:rPr>
          <w:rFonts w:hint="eastAsia" w:ascii="宋体" w:hAnsi="宋体"/>
          <w:b/>
          <w:color w:val="auto"/>
          <w:sz w:val="32"/>
          <w:szCs w:val="32"/>
          <w:highlight w:val="none"/>
        </w:rPr>
      </w:pPr>
    </w:p>
    <w:tbl>
      <w:tblPr>
        <w:tblStyle w:val="37"/>
        <w:tblW w:w="86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572"/>
        <w:gridCol w:w="1968"/>
        <w:gridCol w:w="1491"/>
      </w:tblGrid>
      <w:tr w14:paraId="7196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noWrap/>
            <w:vAlign w:val="center"/>
          </w:tcPr>
          <w:p w14:paraId="7F875A3E">
            <w:pPr>
              <w:spacing w:line="360" w:lineRule="auto"/>
              <w:jc w:val="center"/>
              <w:rPr>
                <w:rFonts w:ascii="幼圆" w:eastAsia="幼圆"/>
                <w:b/>
                <w:color w:val="auto"/>
                <w:szCs w:val="21"/>
                <w:highlight w:val="none"/>
              </w:rPr>
            </w:pPr>
            <w:r>
              <w:rPr>
                <w:rFonts w:hint="eastAsia" w:ascii="幼圆" w:eastAsia="幼圆"/>
                <w:b/>
                <w:color w:val="auto"/>
                <w:szCs w:val="21"/>
                <w:highlight w:val="none"/>
              </w:rPr>
              <w:t>序号</w:t>
            </w:r>
          </w:p>
        </w:tc>
        <w:tc>
          <w:tcPr>
            <w:tcW w:w="4572" w:type="dxa"/>
            <w:noWrap/>
            <w:vAlign w:val="center"/>
          </w:tcPr>
          <w:p w14:paraId="1DC91256">
            <w:pPr>
              <w:spacing w:line="360" w:lineRule="auto"/>
              <w:jc w:val="center"/>
              <w:rPr>
                <w:rFonts w:ascii="幼圆" w:eastAsia="幼圆"/>
                <w:b/>
                <w:color w:val="auto"/>
                <w:szCs w:val="21"/>
                <w:highlight w:val="none"/>
              </w:rPr>
            </w:pPr>
            <w:r>
              <w:rPr>
                <w:rFonts w:hint="eastAsia" w:ascii="幼圆" w:eastAsia="幼圆"/>
                <w:b/>
                <w:color w:val="auto"/>
                <w:szCs w:val="21"/>
                <w:highlight w:val="none"/>
              </w:rPr>
              <w:t>非实质性响应内容</w:t>
            </w:r>
          </w:p>
        </w:tc>
        <w:tc>
          <w:tcPr>
            <w:tcW w:w="1968" w:type="dxa"/>
            <w:noWrap/>
            <w:vAlign w:val="center"/>
          </w:tcPr>
          <w:p w14:paraId="3C88FC89">
            <w:pPr>
              <w:spacing w:line="360" w:lineRule="auto"/>
              <w:jc w:val="center"/>
              <w:rPr>
                <w:rFonts w:ascii="幼圆" w:eastAsia="幼圆"/>
                <w:b/>
                <w:color w:val="auto"/>
                <w:szCs w:val="21"/>
                <w:highlight w:val="none"/>
              </w:rPr>
            </w:pPr>
            <w:r>
              <w:rPr>
                <w:rFonts w:hint="eastAsia" w:ascii="幼圆" w:eastAsia="幼圆"/>
                <w:b/>
                <w:color w:val="auto"/>
                <w:szCs w:val="21"/>
                <w:highlight w:val="none"/>
              </w:rPr>
              <w:t>是否响应</w:t>
            </w:r>
          </w:p>
          <w:p w14:paraId="594DDC70">
            <w:pPr>
              <w:spacing w:line="360" w:lineRule="auto"/>
              <w:jc w:val="center"/>
              <w:rPr>
                <w:rFonts w:ascii="幼圆" w:eastAsia="幼圆"/>
                <w:b/>
                <w:color w:val="auto"/>
                <w:szCs w:val="21"/>
                <w:highlight w:val="none"/>
              </w:rPr>
            </w:pPr>
            <w:r>
              <w:rPr>
                <w:rFonts w:hint="eastAsia" w:ascii="幼圆" w:eastAsia="幼圆"/>
                <w:b/>
                <w:color w:val="auto"/>
                <w:szCs w:val="21"/>
                <w:highlight w:val="none"/>
              </w:rPr>
              <w:t>（填是或者否）</w:t>
            </w:r>
          </w:p>
        </w:tc>
        <w:tc>
          <w:tcPr>
            <w:tcW w:w="1491" w:type="dxa"/>
            <w:noWrap/>
            <w:vAlign w:val="center"/>
          </w:tcPr>
          <w:p w14:paraId="474AF0D0">
            <w:pPr>
              <w:spacing w:line="360" w:lineRule="auto"/>
              <w:jc w:val="center"/>
              <w:rPr>
                <w:rFonts w:ascii="幼圆" w:eastAsia="幼圆"/>
                <w:b/>
                <w:color w:val="auto"/>
                <w:szCs w:val="21"/>
                <w:highlight w:val="none"/>
              </w:rPr>
            </w:pPr>
            <w:r>
              <w:rPr>
                <w:rFonts w:hint="eastAsia" w:ascii="幼圆" w:eastAsia="幼圆"/>
                <w:b/>
                <w:color w:val="auto"/>
                <w:szCs w:val="21"/>
                <w:highlight w:val="none"/>
              </w:rPr>
              <w:t>响应情况</w:t>
            </w:r>
          </w:p>
        </w:tc>
      </w:tr>
      <w:tr w14:paraId="186BA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ign w:val="center"/>
          </w:tcPr>
          <w:p w14:paraId="3CC73DF7">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1</w:t>
            </w:r>
          </w:p>
        </w:tc>
        <w:tc>
          <w:tcPr>
            <w:tcW w:w="4572" w:type="dxa"/>
            <w:noWrap/>
            <w:vAlign w:val="center"/>
          </w:tcPr>
          <w:p w14:paraId="557A4CCA">
            <w:pPr>
              <w:spacing w:line="360" w:lineRule="auto"/>
              <w:rPr>
                <w:rFonts w:hint="eastAsia" w:ascii="宋体" w:hAnsi="宋体"/>
                <w:iCs/>
                <w:color w:val="auto"/>
                <w:szCs w:val="21"/>
                <w:highlight w:val="none"/>
              </w:rPr>
            </w:pPr>
            <w:r>
              <w:rPr>
                <w:rFonts w:hint="eastAsia" w:ascii="宋体" w:hAnsi="宋体"/>
                <w:iCs/>
                <w:color w:val="auto"/>
                <w:szCs w:val="21"/>
                <w:highlight w:val="none"/>
              </w:rPr>
              <w:t>《中小企业声明函》</w:t>
            </w:r>
          </w:p>
        </w:tc>
        <w:tc>
          <w:tcPr>
            <w:tcW w:w="1968" w:type="dxa"/>
            <w:noWrap/>
            <w:vAlign w:val="center"/>
          </w:tcPr>
          <w:p w14:paraId="4C611755">
            <w:pPr>
              <w:spacing w:line="360" w:lineRule="auto"/>
              <w:rPr>
                <w:rFonts w:hint="eastAsia" w:ascii="宋体" w:hAnsi="宋体"/>
                <w:b/>
                <w:color w:val="auto"/>
                <w:szCs w:val="21"/>
                <w:highlight w:val="none"/>
              </w:rPr>
            </w:pPr>
          </w:p>
        </w:tc>
        <w:tc>
          <w:tcPr>
            <w:tcW w:w="1491" w:type="dxa"/>
            <w:noWrap/>
            <w:vAlign w:val="center"/>
          </w:tcPr>
          <w:p w14:paraId="62D36AF1">
            <w:pPr>
              <w:spacing w:line="360" w:lineRule="auto"/>
              <w:rPr>
                <w:rFonts w:hint="eastAsia" w:ascii="宋体" w:hAnsi="宋体"/>
                <w:b/>
                <w:color w:val="auto"/>
                <w:szCs w:val="21"/>
                <w:highlight w:val="none"/>
              </w:rPr>
            </w:pPr>
          </w:p>
        </w:tc>
      </w:tr>
      <w:tr w14:paraId="1A7D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ign w:val="center"/>
          </w:tcPr>
          <w:p w14:paraId="752800E1">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4572" w:type="dxa"/>
            <w:noWrap/>
            <w:vAlign w:val="center"/>
          </w:tcPr>
          <w:p w14:paraId="5A54AB7D">
            <w:pPr>
              <w:spacing w:line="360" w:lineRule="auto"/>
              <w:rPr>
                <w:rFonts w:hint="eastAsia" w:ascii="宋体" w:hAnsi="宋体"/>
                <w:iCs/>
                <w:color w:val="auto"/>
                <w:szCs w:val="21"/>
                <w:highlight w:val="none"/>
              </w:rPr>
            </w:pPr>
            <w:r>
              <w:rPr>
                <w:rFonts w:hint="eastAsia" w:ascii="宋体" w:hAnsi="宋体"/>
                <w:color w:val="auto"/>
                <w:szCs w:val="21"/>
                <w:highlight w:val="none"/>
              </w:rPr>
              <w:t>《残疾人福利性单位声明函》</w:t>
            </w:r>
          </w:p>
        </w:tc>
        <w:tc>
          <w:tcPr>
            <w:tcW w:w="1968" w:type="dxa"/>
            <w:noWrap/>
            <w:vAlign w:val="center"/>
          </w:tcPr>
          <w:p w14:paraId="3924771E">
            <w:pPr>
              <w:spacing w:line="360" w:lineRule="auto"/>
              <w:rPr>
                <w:rFonts w:hint="eastAsia" w:ascii="宋体" w:hAnsi="宋体"/>
                <w:color w:val="auto"/>
                <w:szCs w:val="21"/>
                <w:highlight w:val="none"/>
              </w:rPr>
            </w:pPr>
          </w:p>
        </w:tc>
        <w:tc>
          <w:tcPr>
            <w:tcW w:w="1491" w:type="dxa"/>
            <w:noWrap/>
            <w:vAlign w:val="center"/>
          </w:tcPr>
          <w:p w14:paraId="19AB04BF">
            <w:pPr>
              <w:spacing w:line="360" w:lineRule="auto"/>
              <w:rPr>
                <w:rFonts w:hint="eastAsia" w:ascii="宋体" w:hAnsi="宋体"/>
                <w:color w:val="auto"/>
                <w:szCs w:val="21"/>
                <w:highlight w:val="none"/>
              </w:rPr>
            </w:pPr>
          </w:p>
        </w:tc>
      </w:tr>
      <w:tr w14:paraId="5534A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ign w:val="center"/>
          </w:tcPr>
          <w:p w14:paraId="6553B4A5">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4572" w:type="dxa"/>
            <w:noWrap/>
            <w:vAlign w:val="center"/>
          </w:tcPr>
          <w:p w14:paraId="7C4662B1">
            <w:pPr>
              <w:spacing w:line="360" w:lineRule="auto"/>
              <w:rPr>
                <w:rFonts w:hint="eastAsia" w:ascii="宋体" w:hAnsi="宋体"/>
                <w:iCs/>
                <w:color w:val="auto"/>
                <w:szCs w:val="21"/>
                <w:highlight w:val="none"/>
              </w:rPr>
            </w:pPr>
          </w:p>
        </w:tc>
        <w:tc>
          <w:tcPr>
            <w:tcW w:w="1968" w:type="dxa"/>
            <w:noWrap/>
            <w:vAlign w:val="center"/>
          </w:tcPr>
          <w:p w14:paraId="79E36036">
            <w:pPr>
              <w:spacing w:line="360" w:lineRule="auto"/>
              <w:rPr>
                <w:rFonts w:hint="eastAsia" w:ascii="宋体" w:hAnsi="宋体"/>
                <w:color w:val="auto"/>
                <w:szCs w:val="21"/>
                <w:highlight w:val="none"/>
              </w:rPr>
            </w:pPr>
          </w:p>
        </w:tc>
        <w:tc>
          <w:tcPr>
            <w:tcW w:w="1491" w:type="dxa"/>
            <w:noWrap/>
            <w:vAlign w:val="center"/>
          </w:tcPr>
          <w:p w14:paraId="0F9F5415">
            <w:pPr>
              <w:spacing w:line="360" w:lineRule="auto"/>
              <w:rPr>
                <w:rFonts w:hint="eastAsia" w:ascii="宋体" w:hAnsi="宋体"/>
                <w:color w:val="auto"/>
                <w:szCs w:val="21"/>
                <w:highlight w:val="none"/>
              </w:rPr>
            </w:pPr>
          </w:p>
        </w:tc>
      </w:tr>
    </w:tbl>
    <w:p w14:paraId="46069B0E">
      <w:pPr>
        <w:widowControl/>
        <w:spacing w:line="360" w:lineRule="auto"/>
        <w:ind w:firstLine="422"/>
        <w:jc w:val="left"/>
        <w:rPr>
          <w:rFonts w:hint="eastAsia" w:ascii="宋体" w:hAnsi="宋体" w:cs="Arial"/>
          <w:b/>
          <w:bCs/>
          <w:color w:val="auto"/>
          <w:highlight w:val="none"/>
        </w:rPr>
      </w:pPr>
    </w:p>
    <w:p w14:paraId="09E2BBC5">
      <w:pPr>
        <w:spacing w:line="360" w:lineRule="auto"/>
        <w:ind w:firstLine="422"/>
        <w:jc w:val="center"/>
        <w:rPr>
          <w:b/>
          <w:bCs/>
          <w:color w:val="auto"/>
          <w:highlight w:val="none"/>
        </w:rPr>
      </w:pPr>
      <w:r>
        <w:rPr>
          <w:b/>
          <w:bCs/>
          <w:color w:val="auto"/>
          <w:highlight w:val="none"/>
        </w:rPr>
        <w:br w:type="page" w:clear="all"/>
      </w:r>
    </w:p>
    <w:p w14:paraId="4953CF92">
      <w:pPr>
        <w:jc w:val="center"/>
        <w:rPr>
          <w:color w:val="auto"/>
          <w:highlight w:val="none"/>
        </w:rPr>
      </w:pPr>
      <w:r>
        <w:rPr>
          <w:rStyle w:val="40"/>
          <w:rFonts w:hint="eastAsia" w:ascii="楷体" w:hAnsi="楷体" w:eastAsia="楷体" w:cs="楷体"/>
          <w:color w:val="auto"/>
          <w:sz w:val="32"/>
          <w:szCs w:val="32"/>
          <w:highlight w:val="none"/>
        </w:rPr>
        <w:t>中小企业声明函（服务）</w:t>
      </w:r>
    </w:p>
    <w:p w14:paraId="2A966B65">
      <w:pPr>
        <w:rPr>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 xml:space="preserve">    （单位名称）</w:t>
      </w:r>
      <w:r>
        <w:rPr>
          <w:rFonts w:hint="eastAsia" w:ascii="仿宋" w:hAnsi="仿宋" w:eastAsia="仿宋" w:cs="仿宋"/>
          <w:color w:val="auto"/>
          <w:highlight w:val="none"/>
        </w:rPr>
        <w:t>的</w:t>
      </w:r>
      <w:r>
        <w:rPr>
          <w:rFonts w:hint="eastAsia"/>
          <w:color w:val="auto"/>
          <w:highlight w:val="none"/>
          <w:u w:val="single"/>
        </w:rPr>
        <w:t xml:space="preserve">   （项目名称）采</w:t>
      </w:r>
      <w:r>
        <w:rPr>
          <w:rFonts w:hint="eastAsia"/>
          <w:color w:val="auto"/>
          <w:highlight w:val="none"/>
        </w:rPr>
        <w:t>购活动，提供的货物全部由符合政策要求的中小企业制造。相关企业（含联合体中的中小企业、签订分包意向协议的中小企业）的具体情况如下：</w:t>
      </w:r>
    </w:p>
    <w:p w14:paraId="7802473F">
      <w:pPr>
        <w:rPr>
          <w:rFonts w:ascii="仿宋" w:hAnsi="仿宋" w:eastAsia="仿宋" w:cs="仿宋"/>
          <w:color w:val="auto"/>
          <w:highlight w:val="none"/>
        </w:rPr>
      </w:pPr>
      <w:r>
        <w:rPr>
          <w:rFonts w:hint="eastAsia" w:ascii="仿宋" w:hAnsi="仿宋" w:eastAsia="仿宋" w:cs="仿宋"/>
          <w:color w:val="auto"/>
          <w:highlight w:val="none"/>
        </w:rPr>
        <w:t>1</w:t>
      </w:r>
      <w:r>
        <w:rPr>
          <w:rFonts w:hint="eastAsia"/>
          <w:color w:val="auto"/>
          <w:highlight w:val="none"/>
        </w:rPr>
        <w:t xml:space="preserve">.     </w:t>
      </w:r>
      <w:r>
        <w:rPr>
          <w:rFonts w:hint="eastAsia" w:ascii="仿宋" w:hAnsi="仿宋" w:eastAsia="仿宋" w:cs="仿宋"/>
          <w:color w:val="auto"/>
          <w:highlight w:val="none"/>
        </w:rPr>
        <w:t>（</w:t>
      </w:r>
      <w:r>
        <w:rPr>
          <w:rFonts w:hint="eastAsia"/>
          <w:color w:val="auto"/>
          <w:highlight w:val="none"/>
        </w:rPr>
        <w:t>标的名称）</w:t>
      </w:r>
      <w:r>
        <w:rPr>
          <w:rFonts w:hint="eastAsia" w:ascii="仿宋" w:hAnsi="仿宋" w:eastAsia="仿宋" w:cs="仿宋"/>
          <w:color w:val="auto"/>
          <w:highlight w:val="none"/>
        </w:rPr>
        <w:t>，属于</w:t>
      </w:r>
      <w:r>
        <w:rPr>
          <w:rFonts w:hint="eastAsia"/>
          <w:color w:val="auto"/>
          <w:highlight w:val="none"/>
        </w:rPr>
        <w:t xml:space="preserve">   </w:t>
      </w:r>
      <w:r>
        <w:rPr>
          <w:rFonts w:hint="eastAsia"/>
          <w:color w:val="auto"/>
          <w:highlight w:val="none"/>
          <w:lang w:val="en-US" w:eastAsia="zh-CN"/>
        </w:rPr>
        <w:t xml:space="preserve">    </w:t>
      </w:r>
      <w:r>
        <w:rPr>
          <w:rFonts w:hint="eastAsia" w:ascii="仿宋" w:hAnsi="仿宋" w:eastAsia="仿宋" w:cs="仿宋"/>
          <w:color w:val="auto"/>
          <w:highlight w:val="none"/>
        </w:rPr>
        <w:t>行业；</w:t>
      </w:r>
      <w:r>
        <w:rPr>
          <w:rFonts w:hint="eastAsia"/>
          <w:color w:val="auto"/>
          <w:highlight w:val="none"/>
        </w:rPr>
        <w:t>制造商为          （企业名称）</w:t>
      </w:r>
      <w:r>
        <w:rPr>
          <w:rFonts w:hint="eastAsia" w:ascii="仿宋" w:hAnsi="仿宋" w:eastAsia="仿宋" w:cs="仿宋"/>
          <w:color w:val="auto"/>
          <w:highlight w:val="none"/>
        </w:rPr>
        <w:t>，</w:t>
      </w:r>
      <w:r>
        <w:rPr>
          <w:rFonts w:hint="eastAsia"/>
          <w:color w:val="auto"/>
          <w:highlight w:val="none"/>
        </w:rPr>
        <w:t>从业人员</w:t>
      </w:r>
      <w:r>
        <w:rPr>
          <w:rFonts w:hint="eastAsia" w:ascii="仿宋" w:hAnsi="仿宋" w:eastAsia="仿宋" w:cs="仿宋"/>
          <w:color w:val="auto"/>
          <w:highlight w:val="none"/>
        </w:rPr>
        <w:t xml:space="preserve">    人，</w:t>
      </w:r>
      <w:r>
        <w:rPr>
          <w:rFonts w:hint="eastAsia"/>
          <w:color w:val="auto"/>
          <w:highlight w:val="none"/>
        </w:rPr>
        <w:t>营业收入为</w:t>
      </w:r>
      <w:r>
        <w:rPr>
          <w:rFonts w:hint="eastAsia" w:ascii="仿宋" w:hAnsi="仿宋" w:eastAsia="仿宋" w:cs="仿宋"/>
          <w:color w:val="auto"/>
          <w:highlight w:val="none"/>
        </w:rPr>
        <w:t xml:space="preserve">    万元，</w:t>
      </w:r>
      <w:r>
        <w:rPr>
          <w:rFonts w:hint="eastAsia"/>
          <w:color w:val="auto"/>
          <w:highlight w:val="none"/>
        </w:rPr>
        <w:t>资产总额为</w:t>
      </w:r>
      <w:r>
        <w:rPr>
          <w:rFonts w:hint="eastAsia" w:ascii="仿宋" w:hAnsi="仿宋" w:eastAsia="仿宋" w:cs="仿宋"/>
          <w:color w:val="auto"/>
          <w:highlight w:val="none"/>
        </w:rPr>
        <w:t xml:space="preserve">   万</w:t>
      </w:r>
      <w:r>
        <w:rPr>
          <w:rFonts w:hint="eastAsia"/>
          <w:color w:val="auto"/>
          <w:highlight w:val="none"/>
        </w:rPr>
        <w:t>元，属于     （中型企业、小型企业、微型企业）</w:t>
      </w:r>
      <w:r>
        <w:rPr>
          <w:rFonts w:hint="eastAsia" w:ascii="仿宋" w:hAnsi="仿宋" w:eastAsia="仿宋" w:cs="仿宋"/>
          <w:color w:val="auto"/>
          <w:highlight w:val="none"/>
        </w:rPr>
        <w:t>；</w:t>
      </w:r>
    </w:p>
    <w:p w14:paraId="6B375170">
      <w:pPr>
        <w:rPr>
          <w:rFonts w:ascii="仿宋" w:hAnsi="仿宋" w:eastAsia="仿宋" w:cs="仿宋"/>
          <w:color w:val="auto"/>
          <w:highlight w:val="none"/>
        </w:rPr>
      </w:pPr>
      <w:r>
        <w:rPr>
          <w:rFonts w:hint="eastAsia" w:ascii="仿宋" w:hAnsi="仿宋" w:eastAsia="仿宋" w:cs="仿宋"/>
          <w:color w:val="auto"/>
          <w:highlight w:val="none"/>
        </w:rPr>
        <w:t>2</w:t>
      </w:r>
      <w:r>
        <w:rPr>
          <w:rFonts w:hint="eastAsia"/>
          <w:color w:val="auto"/>
          <w:highlight w:val="none"/>
        </w:rPr>
        <w:t xml:space="preserve">.     </w:t>
      </w:r>
      <w:r>
        <w:rPr>
          <w:rFonts w:hint="eastAsia" w:ascii="仿宋" w:hAnsi="仿宋" w:eastAsia="仿宋" w:cs="仿宋"/>
          <w:color w:val="auto"/>
          <w:highlight w:val="none"/>
        </w:rPr>
        <w:t>（</w:t>
      </w:r>
      <w:r>
        <w:rPr>
          <w:rFonts w:hint="eastAsia"/>
          <w:color w:val="auto"/>
          <w:highlight w:val="none"/>
        </w:rPr>
        <w:t>标的名称）</w:t>
      </w:r>
      <w:r>
        <w:rPr>
          <w:rFonts w:hint="eastAsia" w:ascii="仿宋" w:hAnsi="仿宋" w:eastAsia="仿宋" w:cs="仿宋"/>
          <w:color w:val="auto"/>
          <w:highlight w:val="none"/>
        </w:rPr>
        <w:t>，属于</w:t>
      </w:r>
      <w:r>
        <w:rPr>
          <w:rFonts w:hint="eastAsia"/>
          <w:color w:val="auto"/>
          <w:highlight w:val="none"/>
        </w:rPr>
        <w:t xml:space="preserve">     （采购文件中明确的所属行业）</w:t>
      </w:r>
      <w:r>
        <w:rPr>
          <w:rFonts w:hint="eastAsia" w:ascii="仿宋" w:hAnsi="仿宋" w:eastAsia="仿宋" w:cs="仿宋"/>
          <w:color w:val="auto"/>
          <w:highlight w:val="none"/>
        </w:rPr>
        <w:t>行业；</w:t>
      </w:r>
      <w:r>
        <w:rPr>
          <w:rFonts w:hint="eastAsia"/>
          <w:color w:val="auto"/>
          <w:highlight w:val="none"/>
        </w:rPr>
        <w:t>制造商为          （企业名称）</w:t>
      </w:r>
      <w:r>
        <w:rPr>
          <w:rFonts w:hint="eastAsia" w:ascii="仿宋" w:hAnsi="仿宋" w:eastAsia="仿宋" w:cs="仿宋"/>
          <w:color w:val="auto"/>
          <w:highlight w:val="none"/>
        </w:rPr>
        <w:t>，</w:t>
      </w:r>
      <w:r>
        <w:rPr>
          <w:rFonts w:hint="eastAsia"/>
          <w:color w:val="auto"/>
          <w:highlight w:val="none"/>
        </w:rPr>
        <w:t>从业人员</w:t>
      </w:r>
      <w:r>
        <w:rPr>
          <w:rFonts w:hint="eastAsia" w:ascii="仿宋" w:hAnsi="仿宋" w:eastAsia="仿宋" w:cs="仿宋"/>
          <w:color w:val="auto"/>
          <w:highlight w:val="none"/>
        </w:rPr>
        <w:t xml:space="preserve">    人，</w:t>
      </w:r>
      <w:r>
        <w:rPr>
          <w:rFonts w:hint="eastAsia"/>
          <w:color w:val="auto"/>
          <w:highlight w:val="none"/>
        </w:rPr>
        <w:t>营业收入为</w:t>
      </w:r>
      <w:r>
        <w:rPr>
          <w:rFonts w:hint="eastAsia" w:ascii="仿宋" w:hAnsi="仿宋" w:eastAsia="仿宋" w:cs="仿宋"/>
          <w:color w:val="auto"/>
          <w:highlight w:val="none"/>
        </w:rPr>
        <w:t xml:space="preserve">    万元，</w:t>
      </w:r>
      <w:r>
        <w:rPr>
          <w:rFonts w:hint="eastAsia"/>
          <w:color w:val="auto"/>
          <w:highlight w:val="none"/>
        </w:rPr>
        <w:t>资产总额为</w:t>
      </w:r>
      <w:r>
        <w:rPr>
          <w:rFonts w:hint="eastAsia" w:ascii="仿宋" w:hAnsi="仿宋" w:eastAsia="仿宋" w:cs="仿宋"/>
          <w:color w:val="auto"/>
          <w:highlight w:val="none"/>
        </w:rPr>
        <w:t xml:space="preserve">   万</w:t>
      </w:r>
      <w:r>
        <w:rPr>
          <w:rFonts w:hint="eastAsia"/>
          <w:color w:val="auto"/>
          <w:highlight w:val="none"/>
        </w:rPr>
        <w:t>元，属于     （中型企业、小型企业、微型企业）</w:t>
      </w:r>
      <w:r>
        <w:rPr>
          <w:rFonts w:hint="eastAsia" w:ascii="仿宋" w:hAnsi="仿宋" w:eastAsia="仿宋" w:cs="仿宋"/>
          <w:color w:val="auto"/>
          <w:highlight w:val="none"/>
        </w:rPr>
        <w:t>；</w:t>
      </w:r>
    </w:p>
    <w:p w14:paraId="5262C182">
      <w:pPr>
        <w:rPr>
          <w:color w:val="auto"/>
          <w:highlight w:val="none"/>
        </w:rPr>
      </w:pPr>
      <w:r>
        <w:rPr>
          <w:rFonts w:hint="eastAsia"/>
          <w:color w:val="auto"/>
          <w:highlight w:val="none"/>
        </w:rPr>
        <w:t>……</w:t>
      </w:r>
    </w:p>
    <w:p w14:paraId="01460987">
      <w:pPr>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2E292BE1">
      <w:pPr>
        <w:rPr>
          <w:color w:val="auto"/>
          <w:highlight w:val="none"/>
        </w:rPr>
      </w:pPr>
      <w:r>
        <w:rPr>
          <w:rFonts w:hint="eastAsia"/>
          <w:color w:val="auto"/>
          <w:highlight w:val="none"/>
        </w:rPr>
        <w:t>本企业对上述声明内容的真实性负责。如有虚假，将依法承担相应责任。</w:t>
      </w:r>
    </w:p>
    <w:p w14:paraId="176D309E">
      <w:pPr>
        <w:rPr>
          <w:color w:val="auto"/>
          <w:highlight w:val="none"/>
        </w:rPr>
      </w:pPr>
      <w:r>
        <w:rPr>
          <w:rFonts w:hint="eastAsia"/>
          <w:color w:val="auto"/>
          <w:highlight w:val="none"/>
        </w:rPr>
        <w:t>企业名称（盖章）：</w:t>
      </w:r>
    </w:p>
    <w:p w14:paraId="5770DC13">
      <w:pPr>
        <w:rPr>
          <w:color w:val="auto"/>
          <w:highlight w:val="none"/>
        </w:rPr>
      </w:pPr>
      <w:r>
        <w:rPr>
          <w:rFonts w:hint="eastAsia"/>
          <w:color w:val="auto"/>
          <w:highlight w:val="none"/>
        </w:rPr>
        <w:t>日 期：</w:t>
      </w:r>
    </w:p>
    <w:p w14:paraId="2625FD42">
      <w:pPr>
        <w:widowControl/>
        <w:spacing w:line="44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从业人员、营业收入、资产总额填报上一年度数据，无上一年度数据的新成立企业可不填报。</w:t>
      </w:r>
    </w:p>
    <w:p w14:paraId="40005579">
      <w:pPr>
        <w:pStyle w:val="16"/>
        <w:spacing w:line="440" w:lineRule="exact"/>
        <w:rPr>
          <w:rFonts w:ascii="仿宋" w:hAnsi="仿宋" w:eastAsia="仿宋" w:cs="仿宋"/>
          <w:b/>
          <w:bCs/>
          <w:color w:val="auto"/>
          <w:highlight w:val="none"/>
        </w:rPr>
      </w:pPr>
      <w:r>
        <w:rPr>
          <w:rFonts w:hint="eastAsia" w:ascii="仿宋" w:hAnsi="仿宋" w:eastAsia="仿宋" w:cs="仿宋"/>
          <w:b/>
          <w:bCs/>
          <w:color w:val="auto"/>
          <w:sz w:val="24"/>
          <w:szCs w:val="24"/>
          <w:highlight w:val="none"/>
        </w:rPr>
        <w:t>请投标人根据实际情况如实填写。</w:t>
      </w:r>
    </w:p>
    <w:p w14:paraId="763658BC">
      <w:pPr>
        <w:spacing w:line="360" w:lineRule="auto"/>
        <w:ind w:firstLine="420"/>
        <w:jc w:val="left"/>
        <w:rPr>
          <w:color w:val="auto"/>
          <w:highlight w:val="none"/>
        </w:rPr>
      </w:pPr>
      <w:r>
        <w:rPr>
          <w:rFonts w:hint="eastAsia"/>
          <w:color w:val="auto"/>
          <w:highlight w:val="none"/>
        </w:rPr>
        <w:t>企业名称（盖章）：</w:t>
      </w:r>
    </w:p>
    <w:p w14:paraId="2A72E6EE">
      <w:pPr>
        <w:spacing w:line="360" w:lineRule="auto"/>
        <w:ind w:firstLine="420"/>
        <w:jc w:val="left"/>
        <w:rPr>
          <w:color w:val="auto"/>
          <w:highlight w:val="none"/>
        </w:rPr>
      </w:pPr>
      <w:r>
        <w:rPr>
          <w:rFonts w:hint="eastAsia"/>
          <w:color w:val="auto"/>
          <w:highlight w:val="none"/>
        </w:rPr>
        <w:t>日 期：</w:t>
      </w:r>
    </w:p>
    <w:p w14:paraId="22A4CC25">
      <w:pPr>
        <w:spacing w:line="360" w:lineRule="auto"/>
        <w:ind w:firstLine="422"/>
        <w:jc w:val="center"/>
        <w:rPr>
          <w:color w:val="auto"/>
          <w:highlight w:val="none"/>
        </w:rPr>
      </w:pPr>
      <w:r>
        <w:rPr>
          <w:rStyle w:val="266"/>
          <w:rFonts w:ascii="宋体" w:hAnsi="宋体" w:cs="仿宋"/>
          <w:color w:val="auto"/>
          <w:szCs w:val="21"/>
          <w:highlight w:val="none"/>
        </w:rPr>
        <w:br w:type="page" w:clear="all"/>
      </w:r>
      <w:r>
        <w:rPr>
          <w:rFonts w:hint="eastAsia" w:ascii="宋体" w:hAnsi="宋体"/>
          <w:b/>
          <w:bCs/>
          <w:color w:val="auto"/>
          <w:highlight w:val="none"/>
        </w:rPr>
        <w:t>残疾人福利性单位声明函</w:t>
      </w:r>
    </w:p>
    <w:p w14:paraId="2C163D8E">
      <w:pPr>
        <w:spacing w:line="360" w:lineRule="auto"/>
        <w:ind w:firstLine="624"/>
        <w:rPr>
          <w:rFonts w:ascii="仿宋_GB2312" w:eastAsia="仿宋_GB2312"/>
          <w:color w:val="auto"/>
          <w:spacing w:val="6"/>
          <w:sz w:val="30"/>
          <w:szCs w:val="30"/>
          <w:highlight w:val="none"/>
        </w:rPr>
      </w:pPr>
    </w:p>
    <w:p w14:paraId="4442CA06">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14:paraId="51CA4E66">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本单位在本次政府采购活动中提供的残疾人福利单位产品报价合计为人民币（大写）圆整（￥：     ）。</w:t>
      </w:r>
    </w:p>
    <w:p w14:paraId="59EF8865">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C90BCDE">
      <w:pPr>
        <w:spacing w:line="360" w:lineRule="auto"/>
        <w:ind w:firstLine="420"/>
        <w:rPr>
          <w:rFonts w:hint="eastAsia" w:ascii="宋体" w:hAnsi="宋体"/>
          <w:color w:val="auto"/>
          <w:szCs w:val="21"/>
          <w:highlight w:val="none"/>
        </w:rPr>
      </w:pPr>
    </w:p>
    <w:p w14:paraId="4ADF9D72">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（备注：1、供应商如不提供此声明函，价格将不做相应扣除。2、成交供应商为残疾人福利单位的，此声明函将随成交结果同时公告，接受社会监督）</w:t>
      </w:r>
    </w:p>
    <w:p w14:paraId="048A12D4">
      <w:pPr>
        <w:spacing w:line="360" w:lineRule="auto"/>
        <w:ind w:firstLine="444"/>
        <w:rPr>
          <w:rFonts w:ascii="仿宋_GB2312" w:eastAsia="仿宋_GB2312"/>
          <w:color w:val="auto"/>
          <w:spacing w:val="6"/>
          <w:szCs w:val="21"/>
          <w:highlight w:val="none"/>
        </w:rPr>
      </w:pPr>
    </w:p>
    <w:p w14:paraId="683CA1B4">
      <w:pPr>
        <w:tabs>
          <w:tab w:val="left" w:pos="4860"/>
        </w:tabs>
        <w:spacing w:line="360" w:lineRule="auto"/>
        <w:ind w:firstLine="420"/>
        <w:jc w:val="center"/>
        <w:rPr>
          <w:rFonts w:hint="eastAsia" w:ascii="宋体" w:hAnsi="宋体"/>
          <w:color w:val="auto"/>
          <w:szCs w:val="21"/>
          <w:highlight w:val="none"/>
        </w:rPr>
      </w:pPr>
      <w:r>
        <w:rPr>
          <w:rFonts w:hint="eastAsia" w:ascii="宋体" w:hAnsi="宋体"/>
          <w:color w:val="auto"/>
          <w:szCs w:val="21"/>
          <w:highlight w:val="none"/>
        </w:rPr>
        <w:t xml:space="preserve">               供应商全称（盖章）：</w:t>
      </w:r>
    </w:p>
    <w:p w14:paraId="105F7CD7">
      <w:pPr>
        <w:tabs>
          <w:tab w:val="left" w:pos="4860"/>
        </w:tabs>
        <w:spacing w:line="360" w:lineRule="auto"/>
        <w:ind w:firstLine="420"/>
        <w:jc w:val="center"/>
        <w:rPr>
          <w:rFonts w:hint="eastAsia" w:ascii="宋体" w:hAnsi="宋体"/>
          <w:color w:val="auto"/>
          <w:szCs w:val="21"/>
          <w:highlight w:val="none"/>
        </w:rPr>
      </w:pPr>
      <w:r>
        <w:rPr>
          <w:rFonts w:hint="eastAsia" w:ascii="宋体" w:hAnsi="宋体"/>
          <w:color w:val="auto"/>
          <w:szCs w:val="21"/>
          <w:highlight w:val="none"/>
        </w:rPr>
        <w:t xml:space="preserve">                              日  期：</w:t>
      </w:r>
    </w:p>
    <w:p w14:paraId="4E3545B2">
      <w:pPr>
        <w:spacing w:line="360" w:lineRule="auto"/>
        <w:ind w:firstLine="643"/>
        <w:jc w:val="center"/>
        <w:rPr>
          <w:rFonts w:hint="eastAsia" w:ascii="宋体" w:hAnsi="宋体"/>
          <w:b/>
          <w:bCs/>
          <w:color w:val="auto"/>
          <w:sz w:val="32"/>
          <w:szCs w:val="32"/>
          <w:highlight w:val="none"/>
        </w:rPr>
      </w:pPr>
      <w:r>
        <w:rPr>
          <w:rFonts w:ascii="宋体" w:hAnsi="宋体"/>
          <w:b/>
          <w:bCs/>
          <w:color w:val="auto"/>
          <w:sz w:val="32"/>
          <w:szCs w:val="32"/>
          <w:highlight w:val="none"/>
        </w:rPr>
        <w:br w:type="page" w:clear="all"/>
      </w:r>
      <w:r>
        <w:rPr>
          <w:rFonts w:hint="eastAsia" w:ascii="宋体" w:hAnsi="宋体"/>
          <w:b/>
          <w:bCs/>
          <w:color w:val="auto"/>
          <w:sz w:val="32"/>
          <w:szCs w:val="32"/>
          <w:highlight w:val="none"/>
        </w:rPr>
        <w:t>四、磋商响应报价表</w:t>
      </w:r>
    </w:p>
    <w:p w14:paraId="099BEC41">
      <w:pPr>
        <w:spacing w:line="360" w:lineRule="auto"/>
        <w:ind w:firstLine="420"/>
        <w:rPr>
          <w:rFonts w:hint="eastAsia" w:ascii="宋体" w:hAnsi="宋体"/>
          <w:color w:val="auto"/>
          <w:highlight w:val="none"/>
        </w:rPr>
      </w:pPr>
    </w:p>
    <w:p w14:paraId="731A79DD">
      <w:pPr>
        <w:pStyle w:val="252"/>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项目名称： </w:t>
      </w:r>
    </w:p>
    <w:p w14:paraId="128A8800">
      <w:pPr>
        <w:spacing w:line="360" w:lineRule="auto"/>
        <w:ind w:firstLine="420"/>
        <w:rPr>
          <w:rFonts w:hint="eastAsia" w:ascii="宋体" w:hAnsi="宋体"/>
          <w:color w:val="auto"/>
          <w:szCs w:val="21"/>
          <w:highlight w:val="none"/>
        </w:rPr>
      </w:pPr>
      <w:r>
        <w:rPr>
          <w:rFonts w:hint="eastAsia" w:ascii="宋体" w:hAnsi="宋体"/>
          <w:color w:val="auto"/>
          <w:highlight w:val="none"/>
        </w:rPr>
        <w:t xml:space="preserve">项目编号：                                                             </w:t>
      </w:r>
    </w:p>
    <w:tbl>
      <w:tblPr>
        <w:tblStyle w:val="37"/>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3"/>
        <w:gridCol w:w="4106"/>
      </w:tblGrid>
      <w:tr w14:paraId="0360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C46A6FC">
            <w:pPr>
              <w:pStyle w:val="306"/>
              <w:rPr>
                <w:rFonts w:ascii="宋体" w:hAnsi="宋体" w:eastAsia="宋体" w:cs="宋体"/>
                <w:color w:val="auto"/>
                <w:highlight w:val="none"/>
              </w:rPr>
            </w:pPr>
            <w:r>
              <w:rPr>
                <w:rFonts w:hint="eastAsia" w:ascii="宋体" w:hAnsi="宋体" w:eastAsia="宋体" w:cs="宋体"/>
                <w:b/>
                <w:color w:val="auto"/>
                <w:highlight w:val="none"/>
              </w:rPr>
              <w:t>标题</w:t>
            </w:r>
          </w:p>
        </w:tc>
        <w:tc>
          <w:tcPr>
            <w:tcW w:w="4106"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F120518">
            <w:pPr>
              <w:pStyle w:val="306"/>
              <w:rPr>
                <w:rFonts w:ascii="宋体" w:hAnsi="宋体" w:eastAsia="宋体" w:cs="宋体"/>
                <w:b/>
                <w:color w:val="auto"/>
                <w:highlight w:val="none"/>
              </w:rPr>
            </w:pPr>
            <w:r>
              <w:rPr>
                <w:rFonts w:hint="eastAsia" w:ascii="宋体" w:hAnsi="宋体" w:eastAsia="宋体" w:cs="宋体"/>
                <w:b/>
                <w:color w:val="auto"/>
                <w:highlight w:val="none"/>
              </w:rPr>
              <w:t>内容</w:t>
            </w:r>
          </w:p>
        </w:tc>
      </w:tr>
      <w:tr w14:paraId="1137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trPr>
        <w:tc>
          <w:tcPr>
            <w:tcW w:w="503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3DB506F">
            <w:pPr>
              <w:pStyle w:val="306"/>
              <w:rPr>
                <w:rFonts w:ascii="宋体" w:hAnsi="宋体" w:eastAsia="宋体" w:cs="宋体"/>
                <w:b/>
                <w:color w:val="auto"/>
                <w:highlight w:val="none"/>
              </w:rPr>
            </w:pPr>
            <w:r>
              <w:rPr>
                <w:rFonts w:hint="eastAsia" w:ascii="宋体" w:hAnsi="宋体" w:eastAsia="宋体" w:cs="宋体"/>
                <w:b/>
                <w:color w:val="auto"/>
                <w:highlight w:val="none"/>
              </w:rPr>
              <w:t>投标报价</w:t>
            </w:r>
          </w:p>
        </w:tc>
        <w:tc>
          <w:tcPr>
            <w:tcW w:w="4106"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2E5ACC6">
            <w:pPr>
              <w:pStyle w:val="306"/>
              <w:rPr>
                <w:rFonts w:ascii="宋体" w:hAnsi="宋体" w:eastAsia="宋体" w:cs="宋体"/>
                <w:color w:val="auto"/>
                <w:highlight w:val="none"/>
              </w:rPr>
            </w:pPr>
            <w:r>
              <w:rPr>
                <w:rFonts w:hint="eastAsia" w:ascii="宋体" w:hAnsi="宋体" w:eastAsia="宋体" w:cs="宋体"/>
                <w:color w:val="auto"/>
                <w:highlight w:val="none"/>
              </w:rPr>
              <w:t>大写：</w:t>
            </w:r>
          </w:p>
          <w:p w14:paraId="5FE49765">
            <w:pPr>
              <w:pStyle w:val="306"/>
              <w:rPr>
                <w:rFonts w:ascii="宋体" w:hAnsi="宋体" w:eastAsia="宋体" w:cs="宋体"/>
                <w:color w:val="auto"/>
                <w:highlight w:val="none"/>
              </w:rPr>
            </w:pPr>
          </w:p>
          <w:p w14:paraId="6D73951D">
            <w:pPr>
              <w:pStyle w:val="306"/>
              <w:rPr>
                <w:rFonts w:ascii="宋体" w:hAnsi="宋体" w:eastAsia="宋体" w:cs="宋体"/>
                <w:color w:val="auto"/>
                <w:highlight w:val="none"/>
              </w:rPr>
            </w:pPr>
            <w:r>
              <w:rPr>
                <w:rFonts w:hint="eastAsia" w:ascii="宋体" w:hAnsi="宋体" w:eastAsia="宋体" w:cs="宋体"/>
                <w:color w:val="auto"/>
                <w:highlight w:val="none"/>
              </w:rPr>
              <w:t>小写：</w:t>
            </w:r>
          </w:p>
        </w:tc>
      </w:tr>
      <w:tr w14:paraId="64DC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503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6147914">
            <w:pPr>
              <w:pStyle w:val="306"/>
              <w:rPr>
                <w:rFonts w:ascii="宋体" w:hAnsi="宋体" w:eastAsia="宋体" w:cs="宋体"/>
                <w:color w:val="auto"/>
                <w:highlight w:val="none"/>
              </w:rPr>
            </w:pPr>
            <w:r>
              <w:rPr>
                <w:rFonts w:hint="eastAsia" w:ascii="宋体" w:hAnsi="宋体" w:eastAsia="宋体" w:cs="宋体"/>
                <w:color w:val="auto"/>
                <w:highlight w:val="none"/>
              </w:rPr>
              <w:t>服务期</w:t>
            </w:r>
          </w:p>
        </w:tc>
        <w:tc>
          <w:tcPr>
            <w:tcW w:w="4106"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EA6607D">
            <w:pPr>
              <w:pStyle w:val="306"/>
              <w:rPr>
                <w:rFonts w:ascii="宋体" w:hAnsi="宋体" w:eastAsia="宋体" w:cs="宋体"/>
                <w:color w:val="auto"/>
                <w:highlight w:val="none"/>
              </w:rPr>
            </w:pPr>
            <w:r>
              <w:rPr>
                <w:rFonts w:hint="eastAsia" w:ascii="宋体" w:hAnsi="宋体" w:eastAsia="宋体" w:cs="宋体"/>
                <w:color w:val="auto"/>
                <w:highlight w:val="none"/>
              </w:rPr>
              <w:t>满足招标文件要求</w:t>
            </w:r>
          </w:p>
        </w:tc>
      </w:tr>
      <w:tr w14:paraId="1FD4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trPr>
        <w:tc>
          <w:tcPr>
            <w:tcW w:w="503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1D90EE0">
            <w:pPr>
              <w:pStyle w:val="306"/>
              <w:rPr>
                <w:rFonts w:ascii="宋体" w:hAnsi="宋体" w:eastAsia="宋体" w:cs="宋体"/>
                <w:color w:val="auto"/>
                <w:highlight w:val="none"/>
              </w:rPr>
            </w:pPr>
            <w:r>
              <w:rPr>
                <w:rFonts w:hint="eastAsia" w:ascii="宋体" w:hAnsi="宋体" w:eastAsia="宋体" w:cs="宋体"/>
                <w:color w:val="auto"/>
                <w:highlight w:val="none"/>
              </w:rPr>
              <w:t>投标</w:t>
            </w:r>
            <w:r>
              <w:rPr>
                <w:rFonts w:hint="eastAsia"/>
                <w:color w:val="auto"/>
                <w:highlight w:val="none"/>
              </w:rPr>
              <w:t>服务</w:t>
            </w:r>
            <w:r>
              <w:rPr>
                <w:rFonts w:hint="eastAsia" w:ascii="宋体" w:hAnsi="宋体" w:eastAsia="宋体" w:cs="宋体"/>
                <w:color w:val="auto"/>
                <w:highlight w:val="none"/>
              </w:rPr>
              <w:t>是否全部为小微型企业或监狱企业或残疾人福利性单位提供的</w:t>
            </w:r>
            <w:r>
              <w:rPr>
                <w:rFonts w:hint="eastAsia"/>
                <w:color w:val="auto"/>
                <w:highlight w:val="none"/>
              </w:rPr>
              <w:t>服务</w:t>
            </w:r>
          </w:p>
        </w:tc>
        <w:tc>
          <w:tcPr>
            <w:tcW w:w="4106"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0C0EFED">
            <w:pPr>
              <w:pStyle w:val="306"/>
              <w:rPr>
                <w:rFonts w:ascii="宋体" w:hAnsi="宋体" w:eastAsia="宋体" w:cs="宋体"/>
                <w:color w:val="auto"/>
                <w:highlight w:val="none"/>
              </w:rPr>
            </w:pPr>
          </w:p>
        </w:tc>
      </w:tr>
    </w:tbl>
    <w:p w14:paraId="401F682B">
      <w:pPr>
        <w:spacing w:line="360" w:lineRule="auto"/>
        <w:ind w:firstLine="420"/>
        <w:rPr>
          <w:rFonts w:hint="eastAsia" w:ascii="宋体" w:hAnsi="宋体"/>
          <w:color w:val="auto"/>
          <w:highlight w:val="none"/>
        </w:rPr>
      </w:pPr>
    </w:p>
    <w:p w14:paraId="653D9291">
      <w:pPr>
        <w:spacing w:line="360" w:lineRule="auto"/>
        <w:ind w:firstLine="420"/>
        <w:jc w:val="right"/>
        <w:rPr>
          <w:rFonts w:hint="eastAsia" w:ascii="宋体" w:hAnsi="宋体"/>
          <w:color w:val="auto"/>
          <w:highlight w:val="none"/>
        </w:rPr>
      </w:pPr>
    </w:p>
    <w:p w14:paraId="63CE8CFC">
      <w:pPr>
        <w:spacing w:line="360" w:lineRule="auto"/>
        <w:ind w:firstLine="420"/>
        <w:jc w:val="right"/>
        <w:rPr>
          <w:rFonts w:hint="eastAsia" w:ascii="宋体" w:hAnsi="宋体"/>
          <w:color w:val="auto"/>
          <w:highlight w:val="none"/>
        </w:rPr>
      </w:pPr>
      <w:r>
        <w:rPr>
          <w:rFonts w:hint="eastAsia" w:ascii="宋体" w:hAnsi="宋体"/>
          <w:color w:val="auto"/>
          <w:highlight w:val="none"/>
        </w:rPr>
        <w:t>日期：    年   月    日</w:t>
      </w:r>
    </w:p>
    <w:p w14:paraId="5677A0D0">
      <w:pPr>
        <w:rPr>
          <w:rFonts w:hint="eastAsia" w:ascii="宋体" w:hAnsi="宋体"/>
          <w:color w:val="auto"/>
          <w:szCs w:val="21"/>
          <w:highlight w:val="none"/>
        </w:rPr>
      </w:pPr>
      <w:r>
        <w:rPr>
          <w:rFonts w:ascii="宋体" w:hAnsi="宋体"/>
          <w:color w:val="auto"/>
          <w:szCs w:val="21"/>
          <w:highlight w:val="none"/>
        </w:rPr>
        <w:br w:type="page" w:clear="all"/>
      </w:r>
    </w:p>
    <w:p w14:paraId="63A421E5">
      <w:pPr>
        <w:pStyle w:val="4"/>
        <w:numPr>
          <w:ilvl w:val="0"/>
          <w:numId w:val="14"/>
        </w:numPr>
        <w:jc w:val="center"/>
        <w:rPr>
          <w:rFonts w:hint="eastAsia" w:ascii="宋体" w:hAnsi="宋体" w:eastAsia="宋体" w:cs="Times New Roman"/>
          <w:b/>
          <w:color w:val="auto"/>
          <w:sz w:val="32"/>
          <w:szCs w:val="32"/>
          <w:highlight w:val="none"/>
        </w:rPr>
      </w:pPr>
      <w:bookmarkStart w:id="43" w:name="_Toc109304978"/>
      <w:r>
        <w:rPr>
          <w:rFonts w:hint="eastAsia" w:ascii="宋体" w:hAnsi="宋体" w:eastAsia="宋体" w:cs="Times New Roman"/>
          <w:b/>
          <w:color w:val="auto"/>
          <w:sz w:val="32"/>
          <w:szCs w:val="32"/>
          <w:highlight w:val="none"/>
        </w:rPr>
        <w:t>分项报价表</w:t>
      </w:r>
    </w:p>
    <w:p w14:paraId="49B2821D">
      <w:pPr>
        <w:spacing w:line="360" w:lineRule="auto"/>
        <w:ind w:firstLine="480"/>
        <w:rPr>
          <w:color w:val="auto"/>
          <w:szCs w:val="21"/>
          <w:highlight w:val="none"/>
        </w:rPr>
      </w:pPr>
      <w:r>
        <w:rPr>
          <w:rFonts w:hint="eastAsia" w:ascii="宋体" w:hAnsi="宋体"/>
          <w:color w:val="auto"/>
          <w:szCs w:val="21"/>
          <w:highlight w:val="none"/>
        </w:rPr>
        <w:t>项目名称：</w:t>
      </w:r>
    </w:p>
    <w:p w14:paraId="5484ABB3">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项目编号：</w:t>
      </w:r>
    </w:p>
    <w:p w14:paraId="24C51CA0">
      <w:pPr>
        <w:pStyle w:val="13"/>
        <w:spacing w:line="360" w:lineRule="auto"/>
        <w:rPr>
          <w:rFonts w:hint="eastAsia" w:ascii="宋体" w:hAnsi="宋体"/>
          <w:color w:val="auto"/>
          <w:highlight w:val="none"/>
        </w:rPr>
      </w:pPr>
      <w:r>
        <w:rPr>
          <w:rFonts w:hint="eastAsia" w:ascii="宋体" w:hAnsi="宋体"/>
          <w:color w:val="auto"/>
          <w:highlight w:val="none"/>
        </w:rPr>
        <w:t xml:space="preserve">供应商全称（加盖公章）：            </w:t>
      </w:r>
    </w:p>
    <w:p w14:paraId="5EDA907E">
      <w:pPr>
        <w:spacing w:line="540" w:lineRule="atLeast"/>
        <w:jc w:val="left"/>
        <w:rPr>
          <w:rFonts w:hint="eastAsia" w:ascii="宋体" w:hAnsi="宋体" w:cs="宋体"/>
          <w:b/>
          <w:color w:val="auto"/>
          <w:szCs w:val="21"/>
          <w:highlight w:val="none"/>
        </w:rPr>
      </w:pPr>
      <w:r>
        <w:rPr>
          <w:rFonts w:hint="eastAsia" w:ascii="宋体" w:hAnsi="宋体" w:cs="宋体"/>
          <w:b/>
          <w:color w:val="auto"/>
          <w:szCs w:val="21"/>
          <w:highlight w:val="none"/>
        </w:rPr>
        <w:t>备注：</w:t>
      </w:r>
    </w:p>
    <w:p w14:paraId="3132D5B8">
      <w:pPr>
        <w:spacing w:line="400" w:lineRule="exact"/>
        <w:jc w:val="left"/>
        <w:rPr>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rPr>
        <w:t xml:space="preserve">  </w:t>
      </w:r>
    </w:p>
    <w:p w14:paraId="2BDC4487">
      <w:pPr>
        <w:spacing w:line="360" w:lineRule="auto"/>
        <w:rPr>
          <w:rFonts w:hint="eastAsia" w:ascii="宋体" w:hAnsi="宋体"/>
          <w:color w:val="auto"/>
          <w:szCs w:val="21"/>
          <w:highlight w:val="none"/>
        </w:rPr>
      </w:pPr>
      <w:r>
        <w:rPr>
          <w:rFonts w:hint="eastAsia" w:ascii="宋体" w:hAnsi="宋体"/>
          <w:color w:val="auto"/>
          <w:szCs w:val="21"/>
          <w:highlight w:val="none"/>
        </w:rPr>
        <w:t>2、所有报价（含各分项报价）必须符合国家法律法规及本次磋商文件要求。总报价明显低于其自身合理成本且又无法提供证明的，属于恶意竞争情形，被评委认定为恶意竞争的，为无效报价。</w:t>
      </w:r>
    </w:p>
    <w:p w14:paraId="28424788">
      <w:pPr>
        <w:spacing w:line="360" w:lineRule="auto"/>
        <w:rPr>
          <w:rFonts w:hint="eastAsia" w:ascii="宋体" w:hAnsi="宋体"/>
          <w:color w:val="auto"/>
          <w:szCs w:val="21"/>
          <w:highlight w:val="none"/>
        </w:rPr>
      </w:pPr>
    </w:p>
    <w:p w14:paraId="4E6E6970">
      <w:pPr>
        <w:spacing w:line="360" w:lineRule="auto"/>
        <w:rPr>
          <w:rFonts w:hint="eastAsia" w:ascii="宋体" w:hAnsi="宋体"/>
          <w:color w:val="auto"/>
          <w:szCs w:val="21"/>
          <w:highlight w:val="none"/>
        </w:rPr>
      </w:pPr>
    </w:p>
    <w:p w14:paraId="5623E662">
      <w:pPr>
        <w:spacing w:line="360" w:lineRule="auto"/>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30F985EB">
      <w:pPr>
        <w:spacing w:line="360" w:lineRule="auto"/>
        <w:rPr>
          <w:rFonts w:hint="eastAsia" w:ascii="宋体" w:hAnsi="宋体"/>
          <w:b/>
          <w:color w:val="auto"/>
          <w:szCs w:val="21"/>
          <w:highlight w:val="none"/>
        </w:rPr>
      </w:pPr>
    </w:p>
    <w:p w14:paraId="15F4210C">
      <w:pPr>
        <w:pStyle w:val="17"/>
        <w:rPr>
          <w:rFonts w:hint="eastAsia"/>
          <w:color w:val="auto"/>
          <w:highlight w:val="none"/>
        </w:rPr>
      </w:pPr>
    </w:p>
    <w:p w14:paraId="1E8767D6">
      <w:pPr>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17B35B1A">
      <w:pPr>
        <w:pStyle w:val="237"/>
        <w:spacing w:before="0" w:after="0" w:line="360" w:lineRule="auto"/>
        <w:ind w:firstLine="643"/>
        <w:jc w:val="center"/>
        <w:rPr>
          <w:rFonts w:hint="eastAsia" w:ascii="宋体" w:hAnsi="宋体"/>
          <w:bCs w:val="0"/>
          <w:color w:val="auto"/>
          <w:highlight w:val="none"/>
        </w:rPr>
      </w:pPr>
      <w:r>
        <w:rPr>
          <w:rFonts w:ascii="宋体" w:hAnsi="宋体"/>
          <w:bCs w:val="0"/>
          <w:color w:val="auto"/>
          <w:highlight w:val="none"/>
        </w:rPr>
        <w:br w:type="page" w:clear="all"/>
      </w:r>
      <w:r>
        <w:rPr>
          <w:rFonts w:hint="eastAsia" w:ascii="宋体" w:hAnsi="宋体"/>
          <w:bCs w:val="0"/>
          <w:color w:val="auto"/>
          <w:highlight w:val="none"/>
        </w:rPr>
        <w:t>六、</w:t>
      </w:r>
      <w:bookmarkEnd w:id="43"/>
      <w:r>
        <w:rPr>
          <w:rFonts w:hint="eastAsia" w:ascii="宋体" w:hAnsi="宋体"/>
          <w:bCs w:val="0"/>
          <w:color w:val="auto"/>
          <w:highlight w:val="none"/>
        </w:rPr>
        <w:t>技术参数响应及偏离表</w:t>
      </w:r>
    </w:p>
    <w:tbl>
      <w:tblPr>
        <w:tblStyle w:val="37"/>
        <w:tblW w:w="88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409"/>
        <w:gridCol w:w="2284"/>
        <w:gridCol w:w="2016"/>
        <w:gridCol w:w="1137"/>
      </w:tblGrid>
      <w:tr w14:paraId="6629A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4" w:hRule="atLeast"/>
        </w:trPr>
        <w:tc>
          <w:tcPr>
            <w:tcW w:w="984" w:type="dxa"/>
            <w:noWrap/>
            <w:vAlign w:val="center"/>
          </w:tcPr>
          <w:p w14:paraId="2B84B2FC">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2409" w:type="dxa"/>
            <w:noWrap/>
            <w:vAlign w:val="center"/>
          </w:tcPr>
          <w:p w14:paraId="67E693FA">
            <w:pPr>
              <w:spacing w:line="360" w:lineRule="auto"/>
              <w:jc w:val="center"/>
              <w:rPr>
                <w:rFonts w:hint="eastAsia" w:ascii="宋体" w:hAnsi="宋体"/>
                <w:color w:val="auto"/>
                <w:szCs w:val="21"/>
                <w:highlight w:val="none"/>
              </w:rPr>
            </w:pPr>
            <w:r>
              <w:rPr>
                <w:rFonts w:hint="eastAsia" w:ascii="宋体" w:hAnsi="宋体"/>
                <w:color w:val="auto"/>
                <w:szCs w:val="21"/>
                <w:highlight w:val="none"/>
              </w:rPr>
              <w:t>采购要求</w:t>
            </w:r>
          </w:p>
        </w:tc>
        <w:tc>
          <w:tcPr>
            <w:tcW w:w="2284" w:type="dxa"/>
            <w:noWrap/>
            <w:vAlign w:val="center"/>
          </w:tcPr>
          <w:p w14:paraId="769DFE89">
            <w:pPr>
              <w:spacing w:line="360" w:lineRule="auto"/>
              <w:jc w:val="center"/>
              <w:rPr>
                <w:rFonts w:hint="eastAsia" w:ascii="宋体" w:hAnsi="宋体"/>
                <w:color w:val="auto"/>
                <w:szCs w:val="21"/>
                <w:highlight w:val="none"/>
              </w:rPr>
            </w:pPr>
            <w:r>
              <w:rPr>
                <w:rFonts w:hint="eastAsia" w:ascii="宋体" w:hAnsi="宋体"/>
                <w:color w:val="auto"/>
                <w:szCs w:val="21"/>
                <w:highlight w:val="none"/>
              </w:rPr>
              <w:t>磋商响应</w:t>
            </w:r>
          </w:p>
        </w:tc>
        <w:tc>
          <w:tcPr>
            <w:tcW w:w="2016" w:type="dxa"/>
            <w:noWrap/>
            <w:vAlign w:val="center"/>
          </w:tcPr>
          <w:p w14:paraId="75D65181">
            <w:pPr>
              <w:spacing w:line="360" w:lineRule="auto"/>
              <w:jc w:val="center"/>
              <w:rPr>
                <w:rFonts w:hint="eastAsia" w:ascii="宋体" w:hAnsi="宋体"/>
                <w:color w:val="auto"/>
                <w:szCs w:val="21"/>
                <w:highlight w:val="none"/>
              </w:rPr>
            </w:pPr>
            <w:r>
              <w:rPr>
                <w:rFonts w:hint="eastAsia" w:ascii="宋体" w:hAnsi="宋体"/>
                <w:color w:val="auto"/>
                <w:szCs w:val="21"/>
                <w:highlight w:val="none"/>
              </w:rPr>
              <w:t>超出、符合或偏离</w:t>
            </w:r>
          </w:p>
        </w:tc>
        <w:tc>
          <w:tcPr>
            <w:tcW w:w="1137" w:type="dxa"/>
            <w:noWrap/>
            <w:vAlign w:val="center"/>
          </w:tcPr>
          <w:p w14:paraId="6AC42C48">
            <w:pPr>
              <w:spacing w:line="360" w:lineRule="auto"/>
              <w:jc w:val="center"/>
              <w:rPr>
                <w:rFonts w:hint="eastAsia" w:ascii="宋体" w:hAnsi="宋体"/>
                <w:color w:val="auto"/>
                <w:szCs w:val="21"/>
                <w:highlight w:val="none"/>
              </w:rPr>
            </w:pPr>
            <w:r>
              <w:rPr>
                <w:rFonts w:hint="eastAsia" w:ascii="宋体" w:hAnsi="宋体"/>
                <w:color w:val="auto"/>
                <w:szCs w:val="21"/>
                <w:highlight w:val="none"/>
              </w:rPr>
              <w:t>证明材料</w:t>
            </w:r>
          </w:p>
        </w:tc>
      </w:tr>
      <w:tr w14:paraId="74B7B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3E972B2D">
            <w:pPr>
              <w:spacing w:line="360" w:lineRule="auto"/>
              <w:jc w:val="center"/>
              <w:rPr>
                <w:rFonts w:hint="eastAsia" w:ascii="宋体" w:hAnsi="宋体"/>
                <w:color w:val="auto"/>
                <w:szCs w:val="21"/>
                <w:highlight w:val="none"/>
              </w:rPr>
            </w:pPr>
          </w:p>
        </w:tc>
        <w:tc>
          <w:tcPr>
            <w:tcW w:w="2409" w:type="dxa"/>
            <w:noWrap/>
          </w:tcPr>
          <w:p w14:paraId="434E8DAA">
            <w:pPr>
              <w:spacing w:line="360" w:lineRule="auto"/>
              <w:jc w:val="center"/>
              <w:rPr>
                <w:rFonts w:hint="eastAsia" w:ascii="宋体" w:hAnsi="宋体"/>
                <w:color w:val="auto"/>
                <w:szCs w:val="21"/>
                <w:highlight w:val="none"/>
              </w:rPr>
            </w:pPr>
          </w:p>
        </w:tc>
        <w:tc>
          <w:tcPr>
            <w:tcW w:w="2284" w:type="dxa"/>
            <w:noWrap/>
          </w:tcPr>
          <w:p w14:paraId="6A879F34">
            <w:pPr>
              <w:spacing w:line="360" w:lineRule="auto"/>
              <w:jc w:val="center"/>
              <w:rPr>
                <w:rFonts w:hint="eastAsia" w:ascii="宋体" w:hAnsi="宋体"/>
                <w:color w:val="auto"/>
                <w:szCs w:val="21"/>
                <w:highlight w:val="none"/>
              </w:rPr>
            </w:pPr>
          </w:p>
        </w:tc>
        <w:tc>
          <w:tcPr>
            <w:tcW w:w="2016" w:type="dxa"/>
            <w:noWrap/>
          </w:tcPr>
          <w:p w14:paraId="0C1949D2">
            <w:pPr>
              <w:spacing w:line="360" w:lineRule="auto"/>
              <w:jc w:val="center"/>
              <w:rPr>
                <w:rFonts w:hint="eastAsia" w:ascii="宋体" w:hAnsi="宋体"/>
                <w:color w:val="auto"/>
                <w:szCs w:val="21"/>
                <w:highlight w:val="none"/>
              </w:rPr>
            </w:pPr>
          </w:p>
        </w:tc>
        <w:tc>
          <w:tcPr>
            <w:tcW w:w="1137" w:type="dxa"/>
            <w:noWrap/>
          </w:tcPr>
          <w:p w14:paraId="05D1F6C7">
            <w:pPr>
              <w:spacing w:line="360" w:lineRule="auto"/>
              <w:jc w:val="center"/>
              <w:rPr>
                <w:rFonts w:hint="eastAsia" w:ascii="宋体" w:hAnsi="宋体"/>
                <w:color w:val="auto"/>
                <w:szCs w:val="21"/>
                <w:highlight w:val="none"/>
              </w:rPr>
            </w:pPr>
          </w:p>
        </w:tc>
      </w:tr>
      <w:tr w14:paraId="0974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72ECEA8B">
            <w:pPr>
              <w:spacing w:line="360" w:lineRule="auto"/>
              <w:jc w:val="center"/>
              <w:rPr>
                <w:rFonts w:hint="eastAsia" w:ascii="宋体" w:hAnsi="宋体"/>
                <w:color w:val="auto"/>
                <w:szCs w:val="21"/>
                <w:highlight w:val="none"/>
              </w:rPr>
            </w:pPr>
          </w:p>
        </w:tc>
        <w:tc>
          <w:tcPr>
            <w:tcW w:w="2409" w:type="dxa"/>
            <w:noWrap/>
          </w:tcPr>
          <w:p w14:paraId="4C2B8181">
            <w:pPr>
              <w:spacing w:line="360" w:lineRule="auto"/>
              <w:jc w:val="center"/>
              <w:rPr>
                <w:rFonts w:hint="eastAsia" w:ascii="宋体" w:hAnsi="宋体"/>
                <w:color w:val="auto"/>
                <w:szCs w:val="21"/>
                <w:highlight w:val="none"/>
              </w:rPr>
            </w:pPr>
          </w:p>
        </w:tc>
        <w:tc>
          <w:tcPr>
            <w:tcW w:w="2284" w:type="dxa"/>
            <w:noWrap/>
          </w:tcPr>
          <w:p w14:paraId="35EC13DB">
            <w:pPr>
              <w:spacing w:line="360" w:lineRule="auto"/>
              <w:jc w:val="center"/>
              <w:rPr>
                <w:rFonts w:hint="eastAsia" w:ascii="宋体" w:hAnsi="宋体"/>
                <w:color w:val="auto"/>
                <w:szCs w:val="21"/>
                <w:highlight w:val="none"/>
              </w:rPr>
            </w:pPr>
          </w:p>
        </w:tc>
        <w:tc>
          <w:tcPr>
            <w:tcW w:w="2016" w:type="dxa"/>
            <w:noWrap/>
          </w:tcPr>
          <w:p w14:paraId="561F6772">
            <w:pPr>
              <w:spacing w:line="360" w:lineRule="auto"/>
              <w:jc w:val="center"/>
              <w:rPr>
                <w:rFonts w:hint="eastAsia" w:ascii="宋体" w:hAnsi="宋体"/>
                <w:color w:val="auto"/>
                <w:szCs w:val="21"/>
                <w:highlight w:val="none"/>
              </w:rPr>
            </w:pPr>
          </w:p>
        </w:tc>
        <w:tc>
          <w:tcPr>
            <w:tcW w:w="1137" w:type="dxa"/>
            <w:noWrap/>
          </w:tcPr>
          <w:p w14:paraId="1AC658E5">
            <w:pPr>
              <w:spacing w:line="360" w:lineRule="auto"/>
              <w:jc w:val="center"/>
              <w:rPr>
                <w:rFonts w:hint="eastAsia" w:ascii="宋体" w:hAnsi="宋体"/>
                <w:color w:val="auto"/>
                <w:szCs w:val="21"/>
                <w:highlight w:val="none"/>
              </w:rPr>
            </w:pPr>
          </w:p>
        </w:tc>
      </w:tr>
      <w:tr w14:paraId="1E2E3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414CC204">
            <w:pPr>
              <w:spacing w:line="360" w:lineRule="auto"/>
              <w:jc w:val="center"/>
              <w:rPr>
                <w:rFonts w:hint="eastAsia" w:ascii="宋体" w:hAnsi="宋体"/>
                <w:color w:val="auto"/>
                <w:szCs w:val="21"/>
                <w:highlight w:val="none"/>
              </w:rPr>
            </w:pPr>
          </w:p>
        </w:tc>
        <w:tc>
          <w:tcPr>
            <w:tcW w:w="2409" w:type="dxa"/>
            <w:noWrap/>
          </w:tcPr>
          <w:p w14:paraId="5426A51C">
            <w:pPr>
              <w:spacing w:line="360" w:lineRule="auto"/>
              <w:jc w:val="center"/>
              <w:rPr>
                <w:rFonts w:hint="eastAsia" w:ascii="宋体" w:hAnsi="宋体"/>
                <w:color w:val="auto"/>
                <w:szCs w:val="21"/>
                <w:highlight w:val="none"/>
              </w:rPr>
            </w:pPr>
          </w:p>
        </w:tc>
        <w:tc>
          <w:tcPr>
            <w:tcW w:w="2284" w:type="dxa"/>
            <w:noWrap/>
          </w:tcPr>
          <w:p w14:paraId="61E1E659">
            <w:pPr>
              <w:spacing w:line="360" w:lineRule="auto"/>
              <w:jc w:val="center"/>
              <w:rPr>
                <w:rFonts w:hint="eastAsia" w:ascii="宋体" w:hAnsi="宋体"/>
                <w:color w:val="auto"/>
                <w:szCs w:val="21"/>
                <w:highlight w:val="none"/>
              </w:rPr>
            </w:pPr>
          </w:p>
        </w:tc>
        <w:tc>
          <w:tcPr>
            <w:tcW w:w="2016" w:type="dxa"/>
            <w:noWrap/>
          </w:tcPr>
          <w:p w14:paraId="6E39052F">
            <w:pPr>
              <w:spacing w:line="360" w:lineRule="auto"/>
              <w:jc w:val="center"/>
              <w:rPr>
                <w:rFonts w:hint="eastAsia" w:ascii="宋体" w:hAnsi="宋体"/>
                <w:color w:val="auto"/>
                <w:szCs w:val="21"/>
                <w:highlight w:val="none"/>
              </w:rPr>
            </w:pPr>
          </w:p>
        </w:tc>
        <w:tc>
          <w:tcPr>
            <w:tcW w:w="1137" w:type="dxa"/>
            <w:noWrap/>
          </w:tcPr>
          <w:p w14:paraId="1739FDA2">
            <w:pPr>
              <w:spacing w:line="360" w:lineRule="auto"/>
              <w:jc w:val="center"/>
              <w:rPr>
                <w:rFonts w:hint="eastAsia" w:ascii="宋体" w:hAnsi="宋体"/>
                <w:color w:val="auto"/>
                <w:szCs w:val="21"/>
                <w:highlight w:val="none"/>
              </w:rPr>
            </w:pPr>
          </w:p>
        </w:tc>
      </w:tr>
      <w:tr w14:paraId="4AEC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09B8E91A">
            <w:pPr>
              <w:spacing w:line="360" w:lineRule="auto"/>
              <w:jc w:val="center"/>
              <w:rPr>
                <w:rFonts w:hint="eastAsia" w:ascii="宋体" w:hAnsi="宋体"/>
                <w:color w:val="auto"/>
                <w:szCs w:val="21"/>
                <w:highlight w:val="none"/>
              </w:rPr>
            </w:pPr>
          </w:p>
        </w:tc>
        <w:tc>
          <w:tcPr>
            <w:tcW w:w="2409" w:type="dxa"/>
            <w:noWrap/>
          </w:tcPr>
          <w:p w14:paraId="00F62FB8">
            <w:pPr>
              <w:spacing w:line="360" w:lineRule="auto"/>
              <w:jc w:val="center"/>
              <w:rPr>
                <w:rFonts w:hint="eastAsia" w:ascii="宋体" w:hAnsi="宋体"/>
                <w:color w:val="auto"/>
                <w:szCs w:val="21"/>
                <w:highlight w:val="none"/>
              </w:rPr>
            </w:pPr>
          </w:p>
        </w:tc>
        <w:tc>
          <w:tcPr>
            <w:tcW w:w="2284" w:type="dxa"/>
            <w:noWrap/>
          </w:tcPr>
          <w:p w14:paraId="0055D27B">
            <w:pPr>
              <w:spacing w:line="360" w:lineRule="auto"/>
              <w:jc w:val="center"/>
              <w:rPr>
                <w:rFonts w:hint="eastAsia" w:ascii="宋体" w:hAnsi="宋体"/>
                <w:color w:val="auto"/>
                <w:szCs w:val="21"/>
                <w:highlight w:val="none"/>
              </w:rPr>
            </w:pPr>
          </w:p>
        </w:tc>
        <w:tc>
          <w:tcPr>
            <w:tcW w:w="2016" w:type="dxa"/>
            <w:noWrap/>
          </w:tcPr>
          <w:p w14:paraId="2797C965">
            <w:pPr>
              <w:spacing w:line="360" w:lineRule="auto"/>
              <w:jc w:val="center"/>
              <w:rPr>
                <w:rFonts w:hint="eastAsia" w:ascii="宋体" w:hAnsi="宋体"/>
                <w:color w:val="auto"/>
                <w:szCs w:val="21"/>
                <w:highlight w:val="none"/>
              </w:rPr>
            </w:pPr>
          </w:p>
        </w:tc>
        <w:tc>
          <w:tcPr>
            <w:tcW w:w="1137" w:type="dxa"/>
            <w:noWrap/>
          </w:tcPr>
          <w:p w14:paraId="69C4753A">
            <w:pPr>
              <w:spacing w:line="360" w:lineRule="auto"/>
              <w:jc w:val="center"/>
              <w:rPr>
                <w:rFonts w:hint="eastAsia" w:ascii="宋体" w:hAnsi="宋体"/>
                <w:color w:val="auto"/>
                <w:szCs w:val="21"/>
                <w:highlight w:val="none"/>
              </w:rPr>
            </w:pPr>
          </w:p>
        </w:tc>
      </w:tr>
      <w:tr w14:paraId="72062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3E4888D2">
            <w:pPr>
              <w:spacing w:line="360" w:lineRule="auto"/>
              <w:jc w:val="center"/>
              <w:rPr>
                <w:rFonts w:hint="eastAsia" w:ascii="宋体" w:hAnsi="宋体"/>
                <w:color w:val="auto"/>
                <w:szCs w:val="21"/>
                <w:highlight w:val="none"/>
              </w:rPr>
            </w:pPr>
          </w:p>
        </w:tc>
        <w:tc>
          <w:tcPr>
            <w:tcW w:w="2409" w:type="dxa"/>
            <w:noWrap/>
          </w:tcPr>
          <w:p w14:paraId="687830DF">
            <w:pPr>
              <w:spacing w:line="360" w:lineRule="auto"/>
              <w:jc w:val="center"/>
              <w:rPr>
                <w:rFonts w:hint="eastAsia" w:ascii="宋体" w:hAnsi="宋体"/>
                <w:color w:val="auto"/>
                <w:szCs w:val="21"/>
                <w:highlight w:val="none"/>
              </w:rPr>
            </w:pPr>
          </w:p>
        </w:tc>
        <w:tc>
          <w:tcPr>
            <w:tcW w:w="2284" w:type="dxa"/>
            <w:noWrap/>
          </w:tcPr>
          <w:p w14:paraId="3F4C01B1">
            <w:pPr>
              <w:spacing w:line="360" w:lineRule="auto"/>
              <w:jc w:val="center"/>
              <w:rPr>
                <w:rFonts w:hint="eastAsia" w:ascii="宋体" w:hAnsi="宋体"/>
                <w:color w:val="auto"/>
                <w:szCs w:val="21"/>
                <w:highlight w:val="none"/>
              </w:rPr>
            </w:pPr>
          </w:p>
        </w:tc>
        <w:tc>
          <w:tcPr>
            <w:tcW w:w="2016" w:type="dxa"/>
            <w:noWrap/>
          </w:tcPr>
          <w:p w14:paraId="07E4D966">
            <w:pPr>
              <w:spacing w:line="360" w:lineRule="auto"/>
              <w:jc w:val="center"/>
              <w:rPr>
                <w:rFonts w:hint="eastAsia" w:ascii="宋体" w:hAnsi="宋体"/>
                <w:color w:val="auto"/>
                <w:szCs w:val="21"/>
                <w:highlight w:val="none"/>
              </w:rPr>
            </w:pPr>
          </w:p>
        </w:tc>
        <w:tc>
          <w:tcPr>
            <w:tcW w:w="1137" w:type="dxa"/>
            <w:noWrap/>
          </w:tcPr>
          <w:p w14:paraId="2F9794BC">
            <w:pPr>
              <w:spacing w:line="360" w:lineRule="auto"/>
              <w:jc w:val="center"/>
              <w:rPr>
                <w:rFonts w:hint="eastAsia" w:ascii="宋体" w:hAnsi="宋体"/>
                <w:color w:val="auto"/>
                <w:szCs w:val="21"/>
                <w:highlight w:val="none"/>
              </w:rPr>
            </w:pPr>
          </w:p>
        </w:tc>
      </w:tr>
      <w:tr w14:paraId="61E52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1EF6A1B4">
            <w:pPr>
              <w:spacing w:line="360" w:lineRule="auto"/>
              <w:jc w:val="center"/>
              <w:rPr>
                <w:rFonts w:hint="eastAsia" w:ascii="宋体" w:hAnsi="宋体"/>
                <w:color w:val="auto"/>
                <w:szCs w:val="21"/>
                <w:highlight w:val="none"/>
              </w:rPr>
            </w:pPr>
          </w:p>
        </w:tc>
        <w:tc>
          <w:tcPr>
            <w:tcW w:w="2409" w:type="dxa"/>
            <w:noWrap/>
          </w:tcPr>
          <w:p w14:paraId="2864E26D">
            <w:pPr>
              <w:spacing w:line="360" w:lineRule="auto"/>
              <w:jc w:val="center"/>
              <w:rPr>
                <w:rFonts w:hint="eastAsia" w:ascii="宋体" w:hAnsi="宋体"/>
                <w:color w:val="auto"/>
                <w:szCs w:val="21"/>
                <w:highlight w:val="none"/>
              </w:rPr>
            </w:pPr>
          </w:p>
        </w:tc>
        <w:tc>
          <w:tcPr>
            <w:tcW w:w="2284" w:type="dxa"/>
            <w:noWrap/>
          </w:tcPr>
          <w:p w14:paraId="6063B144">
            <w:pPr>
              <w:spacing w:line="360" w:lineRule="auto"/>
              <w:jc w:val="center"/>
              <w:rPr>
                <w:rFonts w:hint="eastAsia" w:ascii="宋体" w:hAnsi="宋体"/>
                <w:color w:val="auto"/>
                <w:szCs w:val="21"/>
                <w:highlight w:val="none"/>
              </w:rPr>
            </w:pPr>
          </w:p>
        </w:tc>
        <w:tc>
          <w:tcPr>
            <w:tcW w:w="2016" w:type="dxa"/>
            <w:noWrap/>
          </w:tcPr>
          <w:p w14:paraId="4B2C83EF">
            <w:pPr>
              <w:spacing w:line="360" w:lineRule="auto"/>
              <w:jc w:val="center"/>
              <w:rPr>
                <w:rFonts w:hint="eastAsia" w:ascii="宋体" w:hAnsi="宋体"/>
                <w:color w:val="auto"/>
                <w:szCs w:val="21"/>
                <w:highlight w:val="none"/>
              </w:rPr>
            </w:pPr>
          </w:p>
        </w:tc>
        <w:tc>
          <w:tcPr>
            <w:tcW w:w="1137" w:type="dxa"/>
            <w:noWrap/>
          </w:tcPr>
          <w:p w14:paraId="59C89A15">
            <w:pPr>
              <w:spacing w:line="360" w:lineRule="auto"/>
              <w:jc w:val="center"/>
              <w:rPr>
                <w:rFonts w:hint="eastAsia" w:ascii="宋体" w:hAnsi="宋体"/>
                <w:color w:val="auto"/>
                <w:szCs w:val="21"/>
                <w:highlight w:val="none"/>
              </w:rPr>
            </w:pPr>
          </w:p>
        </w:tc>
      </w:tr>
      <w:tr w14:paraId="239BA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5E7FAF46">
            <w:pPr>
              <w:spacing w:line="360" w:lineRule="auto"/>
              <w:jc w:val="center"/>
              <w:rPr>
                <w:rFonts w:hint="eastAsia" w:ascii="宋体" w:hAnsi="宋体"/>
                <w:color w:val="auto"/>
                <w:szCs w:val="21"/>
                <w:highlight w:val="none"/>
              </w:rPr>
            </w:pPr>
          </w:p>
        </w:tc>
        <w:tc>
          <w:tcPr>
            <w:tcW w:w="2409" w:type="dxa"/>
            <w:noWrap/>
          </w:tcPr>
          <w:p w14:paraId="6782A28F">
            <w:pPr>
              <w:spacing w:line="360" w:lineRule="auto"/>
              <w:jc w:val="center"/>
              <w:rPr>
                <w:rFonts w:hint="eastAsia" w:ascii="宋体" w:hAnsi="宋体"/>
                <w:color w:val="auto"/>
                <w:szCs w:val="21"/>
                <w:highlight w:val="none"/>
              </w:rPr>
            </w:pPr>
          </w:p>
        </w:tc>
        <w:tc>
          <w:tcPr>
            <w:tcW w:w="2284" w:type="dxa"/>
            <w:noWrap/>
          </w:tcPr>
          <w:p w14:paraId="2D833659">
            <w:pPr>
              <w:spacing w:line="360" w:lineRule="auto"/>
              <w:jc w:val="center"/>
              <w:rPr>
                <w:rFonts w:hint="eastAsia" w:ascii="宋体" w:hAnsi="宋体"/>
                <w:color w:val="auto"/>
                <w:szCs w:val="21"/>
                <w:highlight w:val="none"/>
              </w:rPr>
            </w:pPr>
          </w:p>
        </w:tc>
        <w:tc>
          <w:tcPr>
            <w:tcW w:w="2016" w:type="dxa"/>
            <w:noWrap/>
          </w:tcPr>
          <w:p w14:paraId="583AA4D0">
            <w:pPr>
              <w:spacing w:line="360" w:lineRule="auto"/>
              <w:jc w:val="center"/>
              <w:rPr>
                <w:rFonts w:hint="eastAsia" w:ascii="宋体" w:hAnsi="宋体"/>
                <w:color w:val="auto"/>
                <w:szCs w:val="21"/>
                <w:highlight w:val="none"/>
              </w:rPr>
            </w:pPr>
          </w:p>
        </w:tc>
        <w:tc>
          <w:tcPr>
            <w:tcW w:w="1137" w:type="dxa"/>
            <w:noWrap/>
          </w:tcPr>
          <w:p w14:paraId="785B009A">
            <w:pPr>
              <w:spacing w:line="360" w:lineRule="auto"/>
              <w:jc w:val="center"/>
              <w:rPr>
                <w:rFonts w:hint="eastAsia" w:ascii="宋体" w:hAnsi="宋体"/>
                <w:color w:val="auto"/>
                <w:szCs w:val="21"/>
                <w:highlight w:val="none"/>
              </w:rPr>
            </w:pPr>
          </w:p>
        </w:tc>
      </w:tr>
      <w:tr w14:paraId="492B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1A823B22">
            <w:pPr>
              <w:spacing w:line="360" w:lineRule="auto"/>
              <w:jc w:val="center"/>
              <w:rPr>
                <w:rFonts w:hint="eastAsia" w:ascii="宋体" w:hAnsi="宋体"/>
                <w:color w:val="auto"/>
                <w:szCs w:val="21"/>
                <w:highlight w:val="none"/>
              </w:rPr>
            </w:pPr>
          </w:p>
        </w:tc>
        <w:tc>
          <w:tcPr>
            <w:tcW w:w="2409" w:type="dxa"/>
            <w:noWrap/>
          </w:tcPr>
          <w:p w14:paraId="284568E6">
            <w:pPr>
              <w:spacing w:line="360" w:lineRule="auto"/>
              <w:jc w:val="center"/>
              <w:rPr>
                <w:rFonts w:hint="eastAsia" w:ascii="宋体" w:hAnsi="宋体"/>
                <w:color w:val="auto"/>
                <w:szCs w:val="21"/>
                <w:highlight w:val="none"/>
              </w:rPr>
            </w:pPr>
          </w:p>
        </w:tc>
        <w:tc>
          <w:tcPr>
            <w:tcW w:w="2284" w:type="dxa"/>
            <w:noWrap/>
          </w:tcPr>
          <w:p w14:paraId="1C1462E4">
            <w:pPr>
              <w:spacing w:line="360" w:lineRule="auto"/>
              <w:jc w:val="center"/>
              <w:rPr>
                <w:rFonts w:hint="eastAsia" w:ascii="宋体" w:hAnsi="宋体"/>
                <w:color w:val="auto"/>
                <w:szCs w:val="21"/>
                <w:highlight w:val="none"/>
              </w:rPr>
            </w:pPr>
          </w:p>
        </w:tc>
        <w:tc>
          <w:tcPr>
            <w:tcW w:w="2016" w:type="dxa"/>
            <w:noWrap/>
          </w:tcPr>
          <w:p w14:paraId="47E6F965">
            <w:pPr>
              <w:spacing w:line="360" w:lineRule="auto"/>
              <w:jc w:val="center"/>
              <w:rPr>
                <w:rFonts w:hint="eastAsia" w:ascii="宋体" w:hAnsi="宋体"/>
                <w:color w:val="auto"/>
                <w:szCs w:val="21"/>
                <w:highlight w:val="none"/>
              </w:rPr>
            </w:pPr>
          </w:p>
        </w:tc>
        <w:tc>
          <w:tcPr>
            <w:tcW w:w="1137" w:type="dxa"/>
            <w:noWrap/>
          </w:tcPr>
          <w:p w14:paraId="2EC1590A">
            <w:pPr>
              <w:spacing w:line="360" w:lineRule="auto"/>
              <w:jc w:val="center"/>
              <w:rPr>
                <w:rFonts w:hint="eastAsia" w:ascii="宋体" w:hAnsi="宋体"/>
                <w:color w:val="auto"/>
                <w:szCs w:val="21"/>
                <w:highlight w:val="none"/>
              </w:rPr>
            </w:pPr>
          </w:p>
        </w:tc>
      </w:tr>
    </w:tbl>
    <w:p w14:paraId="10D9ACD3">
      <w:pPr>
        <w:spacing w:line="360" w:lineRule="auto"/>
        <w:rPr>
          <w:rFonts w:hint="eastAsia" w:ascii="宋体" w:hAnsi="宋体"/>
          <w:color w:val="auto"/>
          <w:sz w:val="24"/>
          <w:szCs w:val="24"/>
          <w:highlight w:val="none"/>
        </w:rPr>
      </w:pPr>
    </w:p>
    <w:p w14:paraId="62C4F66C">
      <w:pPr>
        <w:spacing w:line="360" w:lineRule="auto"/>
        <w:rPr>
          <w:rFonts w:hint="eastAsia" w:ascii="宋体" w:hAnsi="宋体"/>
          <w:color w:val="auto"/>
          <w:szCs w:val="21"/>
          <w:highlight w:val="none"/>
        </w:rPr>
      </w:pPr>
      <w:r>
        <w:rPr>
          <w:rFonts w:hint="eastAsia" w:ascii="宋体" w:hAnsi="宋体"/>
          <w:color w:val="auto"/>
          <w:szCs w:val="21"/>
          <w:highlight w:val="none"/>
        </w:rPr>
        <w:t>注：1、按照基本技术要求详细填列。</w:t>
      </w:r>
    </w:p>
    <w:p w14:paraId="56117DAD">
      <w:pPr>
        <w:spacing w:line="360" w:lineRule="auto"/>
        <w:rPr>
          <w:rFonts w:hint="eastAsia" w:ascii="宋体" w:hAnsi="宋体"/>
          <w:color w:val="auto"/>
          <w:szCs w:val="21"/>
          <w:highlight w:val="none"/>
        </w:rPr>
      </w:pPr>
      <w:r>
        <w:rPr>
          <w:rFonts w:hint="eastAsia" w:ascii="宋体" w:hAnsi="宋体"/>
          <w:color w:val="auto"/>
          <w:szCs w:val="21"/>
          <w:highlight w:val="none"/>
        </w:rPr>
        <w:t>2、行数不够，可自行添加。</w:t>
      </w:r>
    </w:p>
    <w:p w14:paraId="307AEF55">
      <w:pPr>
        <w:widowControl/>
        <w:spacing w:line="360" w:lineRule="auto"/>
        <w:jc w:val="left"/>
        <w:rPr>
          <w:rFonts w:hint="eastAsia" w:ascii="宋体" w:hAnsi="宋体"/>
          <w:bCs/>
          <w:color w:val="auto"/>
          <w:highlight w:val="none"/>
        </w:rPr>
      </w:pPr>
      <w:bookmarkStart w:id="44" w:name="_Hlt26955054"/>
      <w:bookmarkEnd w:id="44"/>
      <w:bookmarkStart w:id="45" w:name="_Toc109304979"/>
      <w:r>
        <w:rPr>
          <w:rFonts w:ascii="宋体" w:hAnsi="宋体"/>
          <w:bCs/>
          <w:color w:val="auto"/>
          <w:highlight w:val="none"/>
        </w:rPr>
        <w:br w:type="page" w:clear="all"/>
      </w:r>
      <w:bookmarkEnd w:id="45"/>
    </w:p>
    <w:p w14:paraId="5A72D0BD">
      <w:pPr>
        <w:pStyle w:val="237"/>
        <w:spacing w:before="0" w:after="0" w:line="360" w:lineRule="auto"/>
        <w:ind w:firstLine="643"/>
        <w:jc w:val="center"/>
        <w:rPr>
          <w:rFonts w:hint="eastAsia" w:ascii="宋体" w:hAnsi="宋体" w:cs="宋体"/>
          <w:bCs w:val="0"/>
          <w:color w:val="auto"/>
          <w:highlight w:val="none"/>
        </w:rPr>
      </w:pPr>
      <w:r>
        <w:rPr>
          <w:rFonts w:hint="eastAsia" w:ascii="宋体" w:hAnsi="宋体" w:cs="宋体"/>
          <w:bCs w:val="0"/>
          <w:color w:val="auto"/>
          <w:highlight w:val="none"/>
        </w:rPr>
        <w:t>七、商务条款响应及偏离表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63C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615E2C33">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采购要求</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4AAE23E">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磋商响应</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B0B4CDF">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偏差内容及说明</w:t>
            </w:r>
          </w:p>
        </w:tc>
      </w:tr>
      <w:tr w14:paraId="0E18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D33907B">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36261BA">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3B185D0">
            <w:pPr>
              <w:pStyle w:val="308"/>
              <w:spacing w:line="560" w:lineRule="exact"/>
              <w:jc w:val="center"/>
              <w:rPr>
                <w:rFonts w:ascii="仿宋_GB2312" w:eastAsia="仿宋_GB2312"/>
                <w:color w:val="auto"/>
                <w:sz w:val="24"/>
                <w:highlight w:val="none"/>
              </w:rPr>
            </w:pPr>
          </w:p>
        </w:tc>
      </w:tr>
      <w:tr w14:paraId="0CAB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C77A64B">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AE5125A">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6F5E3DE">
            <w:pPr>
              <w:pStyle w:val="308"/>
              <w:spacing w:line="560" w:lineRule="exact"/>
              <w:jc w:val="center"/>
              <w:rPr>
                <w:rFonts w:ascii="仿宋_GB2312" w:eastAsia="仿宋_GB2312"/>
                <w:color w:val="auto"/>
                <w:sz w:val="24"/>
                <w:highlight w:val="none"/>
              </w:rPr>
            </w:pPr>
          </w:p>
        </w:tc>
      </w:tr>
      <w:tr w14:paraId="5C48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6EA7BBF">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C94B4BF">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7A53E02">
            <w:pPr>
              <w:pStyle w:val="308"/>
              <w:spacing w:line="560" w:lineRule="exact"/>
              <w:jc w:val="center"/>
              <w:rPr>
                <w:rFonts w:ascii="仿宋_GB2312" w:eastAsia="仿宋_GB2312"/>
                <w:color w:val="auto"/>
                <w:sz w:val="24"/>
                <w:highlight w:val="none"/>
              </w:rPr>
            </w:pPr>
          </w:p>
        </w:tc>
      </w:tr>
      <w:tr w14:paraId="32FA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182F7544">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2D3F607">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2DAA5F5">
            <w:pPr>
              <w:pStyle w:val="308"/>
              <w:spacing w:line="560" w:lineRule="exact"/>
              <w:jc w:val="center"/>
              <w:rPr>
                <w:rFonts w:ascii="仿宋_GB2312" w:eastAsia="仿宋_GB2312"/>
                <w:color w:val="auto"/>
                <w:sz w:val="24"/>
                <w:highlight w:val="none"/>
              </w:rPr>
            </w:pPr>
          </w:p>
        </w:tc>
      </w:tr>
      <w:tr w14:paraId="597E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5F5A197">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B522091">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79F6D3D">
            <w:pPr>
              <w:pStyle w:val="308"/>
              <w:spacing w:line="560" w:lineRule="exact"/>
              <w:jc w:val="center"/>
              <w:rPr>
                <w:rFonts w:ascii="仿宋_GB2312" w:eastAsia="仿宋_GB2312"/>
                <w:color w:val="auto"/>
                <w:sz w:val="24"/>
                <w:highlight w:val="none"/>
              </w:rPr>
            </w:pPr>
          </w:p>
        </w:tc>
      </w:tr>
      <w:tr w14:paraId="3AB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1CFAA3B">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27DD8AD">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C9CBDE6">
            <w:pPr>
              <w:pStyle w:val="308"/>
              <w:spacing w:line="560" w:lineRule="exact"/>
              <w:jc w:val="center"/>
              <w:rPr>
                <w:rFonts w:ascii="仿宋_GB2312" w:eastAsia="仿宋_GB2312"/>
                <w:color w:val="auto"/>
                <w:sz w:val="24"/>
                <w:highlight w:val="none"/>
              </w:rPr>
            </w:pPr>
          </w:p>
        </w:tc>
      </w:tr>
      <w:tr w14:paraId="51CC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140D4DCB">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9512F71">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29E97EC">
            <w:pPr>
              <w:pStyle w:val="308"/>
              <w:spacing w:line="560" w:lineRule="exact"/>
              <w:jc w:val="center"/>
              <w:rPr>
                <w:rFonts w:ascii="仿宋_GB2312" w:eastAsia="仿宋_GB2312"/>
                <w:color w:val="auto"/>
                <w:sz w:val="24"/>
                <w:highlight w:val="none"/>
              </w:rPr>
            </w:pPr>
          </w:p>
        </w:tc>
      </w:tr>
      <w:tr w14:paraId="151E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114E35FE">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1203D58">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ABF0875">
            <w:pPr>
              <w:pStyle w:val="308"/>
              <w:spacing w:line="560" w:lineRule="exact"/>
              <w:jc w:val="center"/>
              <w:rPr>
                <w:rFonts w:ascii="仿宋_GB2312" w:eastAsia="仿宋_GB2312"/>
                <w:color w:val="auto"/>
                <w:sz w:val="24"/>
                <w:highlight w:val="none"/>
              </w:rPr>
            </w:pPr>
          </w:p>
        </w:tc>
      </w:tr>
      <w:tr w14:paraId="0AA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72050A7">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520AEA3">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A053D28">
            <w:pPr>
              <w:pStyle w:val="308"/>
              <w:spacing w:line="560" w:lineRule="exact"/>
              <w:jc w:val="center"/>
              <w:rPr>
                <w:rFonts w:ascii="仿宋_GB2312" w:eastAsia="仿宋_GB2312"/>
                <w:color w:val="auto"/>
                <w:sz w:val="24"/>
                <w:highlight w:val="none"/>
              </w:rPr>
            </w:pPr>
          </w:p>
        </w:tc>
      </w:tr>
      <w:tr w14:paraId="7FE6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42EF9FE">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40C6875">
            <w:pPr>
              <w:pStyle w:val="308"/>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48DE7A6">
            <w:pPr>
              <w:pStyle w:val="308"/>
              <w:spacing w:line="560" w:lineRule="exact"/>
              <w:jc w:val="center"/>
              <w:rPr>
                <w:rFonts w:ascii="仿宋_GB2312" w:eastAsia="仿宋_GB2312"/>
                <w:color w:val="auto"/>
                <w:sz w:val="24"/>
                <w:highlight w:val="none"/>
              </w:rPr>
            </w:pPr>
          </w:p>
        </w:tc>
      </w:tr>
    </w:tbl>
    <w:p w14:paraId="3700012A">
      <w:pPr>
        <w:pStyle w:val="238"/>
        <w:rPr>
          <w:color w:val="auto"/>
          <w:highlight w:val="none"/>
        </w:rPr>
      </w:pPr>
    </w:p>
    <w:p w14:paraId="7E8FBEF2">
      <w:pPr>
        <w:pStyle w:val="238"/>
        <w:rPr>
          <w:color w:val="auto"/>
          <w:highlight w:val="none"/>
        </w:rPr>
      </w:pPr>
    </w:p>
    <w:p w14:paraId="5D979305">
      <w:pPr>
        <w:pStyle w:val="238"/>
        <w:rPr>
          <w:color w:val="auto"/>
          <w:highlight w:val="none"/>
        </w:rPr>
      </w:pPr>
    </w:p>
    <w:p w14:paraId="558FE0FA">
      <w:pPr>
        <w:pStyle w:val="238"/>
        <w:rPr>
          <w:color w:val="auto"/>
          <w:highlight w:val="none"/>
        </w:rPr>
      </w:pPr>
    </w:p>
    <w:p w14:paraId="459A6DC3">
      <w:pPr>
        <w:spacing w:line="360" w:lineRule="auto"/>
        <w:ind w:firstLine="422"/>
        <w:jc w:val="center"/>
        <w:rPr>
          <w:b/>
          <w:bCs/>
          <w:color w:val="auto"/>
          <w:szCs w:val="21"/>
          <w:highlight w:val="none"/>
        </w:rPr>
      </w:pPr>
      <w:bookmarkStart w:id="46" w:name="_Hlt24879081"/>
      <w:bookmarkEnd w:id="46"/>
      <w:bookmarkStart w:id="47" w:name="_Hlt26609391"/>
      <w:bookmarkEnd w:id="47"/>
      <w:bookmarkStart w:id="48" w:name="_Hlt26671372"/>
      <w:bookmarkEnd w:id="48"/>
      <w:bookmarkStart w:id="49" w:name="_Hlt26580838"/>
      <w:bookmarkEnd w:id="49"/>
      <w:bookmarkStart w:id="50" w:name="_Hlt26955064"/>
      <w:bookmarkEnd w:id="50"/>
      <w:bookmarkStart w:id="51" w:name="_Hlt26782999"/>
      <w:bookmarkEnd w:id="51"/>
      <w:bookmarkStart w:id="52" w:name="_Hlt26955056"/>
      <w:bookmarkEnd w:id="52"/>
      <w:bookmarkStart w:id="53" w:name="_Hlt26671343"/>
      <w:bookmarkEnd w:id="53"/>
      <w:r>
        <w:rPr>
          <w:rFonts w:hint="eastAsia" w:ascii="宋体" w:hAnsi="宋体" w:cs="宋体"/>
          <w:b/>
          <w:color w:val="auto"/>
          <w:highlight w:val="none"/>
        </w:rPr>
        <w:br w:type="page" w:clear="all"/>
      </w:r>
      <w:r>
        <w:rPr>
          <w:rFonts w:hint="eastAsia" w:ascii="宋体" w:hAnsi="宋体" w:cs="宋体"/>
          <w:b/>
          <w:color w:val="auto"/>
          <w:sz w:val="32"/>
          <w:szCs w:val="32"/>
          <w:highlight w:val="none"/>
        </w:rPr>
        <w:t>八、拟投入人员一览表</w:t>
      </w:r>
    </w:p>
    <w:p w14:paraId="0905724D">
      <w:pPr>
        <w:jc w:val="center"/>
        <w:rPr>
          <w:rFonts w:ascii="仿宋" w:hAnsi="仿宋" w:eastAsia="仿宋" w:cs="仿宋"/>
          <w:color w:val="auto"/>
          <w:sz w:val="28"/>
          <w:szCs w:val="28"/>
          <w:highlight w:val="none"/>
        </w:rPr>
      </w:pPr>
      <w:bookmarkStart w:id="54" w:name="_Toc25703"/>
      <w:bookmarkStart w:id="55" w:name="_Toc31235"/>
      <w:r>
        <w:rPr>
          <w:rFonts w:hint="eastAsia" w:ascii="仿宋" w:hAnsi="仿宋" w:eastAsia="仿宋" w:cs="仿宋"/>
          <w:color w:val="auto"/>
          <w:sz w:val="28"/>
          <w:szCs w:val="28"/>
          <w:highlight w:val="none"/>
        </w:rPr>
        <w:t>附表1 项目组人员配备情况表</w:t>
      </w:r>
      <w:bookmarkEnd w:id="54"/>
      <w:bookmarkEnd w:id="55"/>
    </w:p>
    <w:tbl>
      <w:tblPr>
        <w:tblStyle w:val="37"/>
        <w:tblpPr w:leftFromText="180" w:rightFromText="180" w:vertAnchor="text" w:horzAnchor="page" w:tblpX="751" w:tblpY="364"/>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72"/>
        <w:gridCol w:w="905"/>
        <w:gridCol w:w="1342"/>
        <w:gridCol w:w="862"/>
        <w:gridCol w:w="1931"/>
        <w:gridCol w:w="2236"/>
      </w:tblGrid>
      <w:tr w14:paraId="2BBE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2BB40075">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人员类别</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88045DF">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753ADD63">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66662AF">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毕业院校与专业</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5ED9867">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43FF5EFF">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资格证书及等级</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30C9D47">
            <w:pPr>
              <w:spacing w:line="440" w:lineRule="exact"/>
              <w:ind w:right="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承担过的主要项目</w:t>
            </w:r>
          </w:p>
        </w:tc>
      </w:tr>
      <w:tr w14:paraId="1E5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15DFC1F9">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项目负责人</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77824AB">
            <w:pPr>
              <w:spacing w:line="440" w:lineRule="exact"/>
              <w:ind w:right="33"/>
              <w:jc w:val="center"/>
              <w:rPr>
                <w:rFonts w:ascii="仿宋" w:hAnsi="仿宋" w:eastAsia="仿宋" w:cs="仿宋"/>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4C8569B4">
            <w:pPr>
              <w:spacing w:line="440" w:lineRule="exact"/>
              <w:ind w:right="33"/>
              <w:jc w:val="center"/>
              <w:rPr>
                <w:rFonts w:ascii="仿宋" w:hAnsi="仿宋" w:eastAsia="仿宋" w:cs="仿宋"/>
                <w:color w:val="auto"/>
                <w:sz w:val="24"/>
                <w:szCs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1C67463">
            <w:pPr>
              <w:spacing w:line="440" w:lineRule="exact"/>
              <w:ind w:right="33"/>
              <w:jc w:val="center"/>
              <w:rPr>
                <w:rFonts w:ascii="仿宋" w:hAnsi="仿宋" w:eastAsia="仿宋" w:cs="仿宋"/>
                <w:color w:val="auto"/>
                <w:sz w:val="24"/>
                <w:szCs w:val="24"/>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3B571CA8">
            <w:pPr>
              <w:spacing w:line="440" w:lineRule="exact"/>
              <w:ind w:right="33"/>
              <w:jc w:val="center"/>
              <w:rPr>
                <w:rFonts w:ascii="仿宋" w:hAnsi="仿宋" w:eastAsia="仿宋" w:cs="仿宋"/>
                <w:color w:val="auto"/>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center"/>
          </w:tcPr>
          <w:p w14:paraId="475D2C34">
            <w:pPr>
              <w:spacing w:line="440" w:lineRule="exact"/>
              <w:ind w:right="33"/>
              <w:jc w:val="center"/>
              <w:rPr>
                <w:rFonts w:ascii="仿宋" w:hAnsi="仿宋" w:eastAsia="仿宋" w:cs="仿宋"/>
                <w:color w:val="auto"/>
                <w:sz w:val="24"/>
                <w:szCs w:val="24"/>
                <w:highlight w:val="none"/>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14:paraId="5933321B">
            <w:pPr>
              <w:spacing w:line="440" w:lineRule="exact"/>
              <w:ind w:right="33"/>
              <w:jc w:val="center"/>
              <w:rPr>
                <w:rFonts w:ascii="仿宋" w:hAnsi="仿宋" w:eastAsia="仿宋" w:cs="仿宋"/>
                <w:color w:val="auto"/>
                <w:sz w:val="24"/>
                <w:szCs w:val="24"/>
                <w:highlight w:val="none"/>
              </w:rPr>
            </w:pPr>
          </w:p>
        </w:tc>
      </w:tr>
      <w:tr w14:paraId="07D5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7BFB9816">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项目组人员</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01ADD73">
            <w:pPr>
              <w:spacing w:line="440" w:lineRule="exact"/>
              <w:ind w:right="33"/>
              <w:jc w:val="center"/>
              <w:rPr>
                <w:rFonts w:ascii="仿宋" w:hAnsi="仿宋" w:eastAsia="仿宋" w:cs="仿宋"/>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0C6A7386">
            <w:pPr>
              <w:spacing w:line="440" w:lineRule="exact"/>
              <w:ind w:right="33"/>
              <w:jc w:val="center"/>
              <w:rPr>
                <w:rFonts w:ascii="仿宋" w:hAnsi="仿宋" w:eastAsia="仿宋" w:cs="仿宋"/>
                <w:color w:val="auto"/>
                <w:sz w:val="24"/>
                <w:szCs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894026D">
            <w:pPr>
              <w:spacing w:line="440" w:lineRule="exact"/>
              <w:ind w:right="33"/>
              <w:jc w:val="center"/>
              <w:rPr>
                <w:rFonts w:ascii="仿宋" w:hAnsi="仿宋" w:eastAsia="仿宋" w:cs="仿宋"/>
                <w:color w:val="auto"/>
                <w:sz w:val="24"/>
                <w:szCs w:val="24"/>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53A2CAA2">
            <w:pPr>
              <w:spacing w:line="440" w:lineRule="exact"/>
              <w:ind w:right="33"/>
              <w:jc w:val="center"/>
              <w:rPr>
                <w:rFonts w:ascii="仿宋" w:hAnsi="仿宋" w:eastAsia="仿宋" w:cs="仿宋"/>
                <w:color w:val="auto"/>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center"/>
          </w:tcPr>
          <w:p w14:paraId="38659CEF">
            <w:pPr>
              <w:spacing w:line="440" w:lineRule="exact"/>
              <w:ind w:right="33"/>
              <w:jc w:val="center"/>
              <w:rPr>
                <w:rFonts w:ascii="仿宋" w:hAnsi="仿宋" w:eastAsia="仿宋" w:cs="仿宋"/>
                <w:color w:val="auto"/>
                <w:sz w:val="24"/>
                <w:szCs w:val="24"/>
                <w:highlight w:val="none"/>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14:paraId="71E88D6D">
            <w:pPr>
              <w:spacing w:line="440" w:lineRule="exact"/>
              <w:ind w:right="33"/>
              <w:jc w:val="center"/>
              <w:rPr>
                <w:rFonts w:ascii="仿宋" w:hAnsi="仿宋" w:eastAsia="仿宋" w:cs="仿宋"/>
                <w:color w:val="auto"/>
                <w:sz w:val="24"/>
                <w:szCs w:val="24"/>
                <w:highlight w:val="none"/>
              </w:rPr>
            </w:pPr>
          </w:p>
        </w:tc>
      </w:tr>
      <w:tr w14:paraId="6637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0215" w:type="dxa"/>
            <w:gridSpan w:val="7"/>
            <w:tcBorders>
              <w:top w:val="single" w:color="auto" w:sz="4" w:space="0"/>
              <w:left w:val="single" w:color="auto" w:sz="4" w:space="0"/>
              <w:bottom w:val="single" w:color="auto" w:sz="4" w:space="0"/>
              <w:right w:val="single" w:color="auto" w:sz="4" w:space="0"/>
            </w:tcBorders>
            <w:noWrap w:val="0"/>
            <w:vAlign w:val="center"/>
          </w:tcPr>
          <w:p w14:paraId="5D94EE62">
            <w:pPr>
              <w:spacing w:line="440" w:lineRule="exact"/>
              <w:ind w:right="3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若我单位中标，保证投标的项目组人员全员到位（不可抗力除外），若我方违约，采购人有权给予取消中标资格，没收投标保证金、网上公布弄虚作假失信行为、责令退场的处理。</w:t>
            </w:r>
          </w:p>
        </w:tc>
      </w:tr>
    </w:tbl>
    <w:p w14:paraId="783F965C">
      <w:pPr>
        <w:spacing w:line="440" w:lineRule="exact"/>
        <w:rPr>
          <w:rFonts w:ascii="仿宋" w:hAnsi="仿宋" w:eastAsia="仿宋" w:cs="仿宋"/>
          <w:color w:val="auto"/>
          <w:sz w:val="24"/>
          <w:szCs w:val="24"/>
          <w:highlight w:val="none"/>
        </w:rPr>
      </w:pPr>
    </w:p>
    <w:p w14:paraId="185CAE05">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注：上表中“人员类别”一项投标人可根据具体情况加以调整。</w:t>
      </w:r>
    </w:p>
    <w:p w14:paraId="5909799F">
      <w:pPr>
        <w:spacing w:line="440" w:lineRule="exact"/>
        <w:jc w:val="center"/>
        <w:rPr>
          <w:rFonts w:ascii="仿宋" w:hAnsi="仿宋" w:eastAsia="仿宋" w:cs="仿宋"/>
          <w:color w:val="auto"/>
          <w:sz w:val="24"/>
          <w:szCs w:val="24"/>
          <w:highlight w:val="none"/>
        </w:rPr>
      </w:pPr>
    </w:p>
    <w:p w14:paraId="2CF65EA4">
      <w:pPr>
        <w:jc w:val="center"/>
        <w:rPr>
          <w:rFonts w:ascii="仿宋" w:hAnsi="仿宋" w:eastAsia="仿宋" w:cs="仿宋"/>
          <w:color w:val="auto"/>
          <w:sz w:val="28"/>
          <w:szCs w:val="28"/>
          <w:highlight w:val="none"/>
        </w:rPr>
      </w:pPr>
      <w:bookmarkStart w:id="56" w:name="_Toc26761"/>
      <w:bookmarkStart w:id="57" w:name="_Toc22471"/>
      <w:r>
        <w:rPr>
          <w:rFonts w:hint="eastAsia" w:ascii="仿宋" w:hAnsi="仿宋" w:eastAsia="仿宋" w:cs="仿宋"/>
          <w:color w:val="auto"/>
          <w:sz w:val="28"/>
          <w:szCs w:val="28"/>
          <w:highlight w:val="none"/>
        </w:rPr>
        <w:t>附表2 项目组成员简历表</w:t>
      </w:r>
      <w:bookmarkEnd w:id="56"/>
      <w:bookmarkEnd w:id="57"/>
    </w:p>
    <w:tbl>
      <w:tblPr>
        <w:tblStyle w:val="37"/>
        <w:tblpPr w:leftFromText="180" w:rightFromText="180" w:vertAnchor="text" w:horzAnchor="page" w:tblpX="776" w:tblpY="378"/>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86"/>
        <w:gridCol w:w="1428"/>
        <w:gridCol w:w="614"/>
        <w:gridCol w:w="225"/>
        <w:gridCol w:w="1022"/>
        <w:gridCol w:w="674"/>
        <w:gridCol w:w="1804"/>
        <w:gridCol w:w="92"/>
        <w:gridCol w:w="1003"/>
        <w:gridCol w:w="656"/>
        <w:gridCol w:w="1322"/>
      </w:tblGrid>
      <w:tr w14:paraId="4501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35DBEF7A">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853" w:type="dxa"/>
            <w:gridSpan w:val="4"/>
            <w:tcBorders>
              <w:top w:val="single" w:color="auto" w:sz="4" w:space="0"/>
              <w:left w:val="single" w:color="auto" w:sz="4" w:space="0"/>
              <w:bottom w:val="single" w:color="auto" w:sz="4" w:space="0"/>
              <w:right w:val="single" w:color="auto" w:sz="4" w:space="0"/>
            </w:tcBorders>
            <w:noWrap w:val="0"/>
            <w:vAlign w:val="center"/>
          </w:tcPr>
          <w:p w14:paraId="11A26776">
            <w:pPr>
              <w:spacing w:line="440" w:lineRule="exact"/>
              <w:jc w:val="center"/>
              <w:rPr>
                <w:rFonts w:ascii="仿宋" w:hAnsi="仿宋" w:eastAsia="仿宋" w:cs="仿宋"/>
                <w:color w:val="auto"/>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5FEB016">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478" w:type="dxa"/>
            <w:gridSpan w:val="2"/>
            <w:tcBorders>
              <w:top w:val="single" w:color="auto" w:sz="4" w:space="0"/>
              <w:left w:val="single" w:color="auto" w:sz="4" w:space="0"/>
              <w:bottom w:val="single" w:color="auto" w:sz="4" w:space="0"/>
              <w:right w:val="single" w:color="auto" w:sz="4" w:space="0"/>
            </w:tcBorders>
            <w:noWrap w:val="0"/>
            <w:vAlign w:val="center"/>
          </w:tcPr>
          <w:p w14:paraId="49761E8B">
            <w:pPr>
              <w:spacing w:line="440" w:lineRule="exact"/>
              <w:jc w:val="center"/>
              <w:rPr>
                <w:rFonts w:ascii="仿宋" w:hAnsi="仿宋" w:eastAsia="仿宋" w:cs="仿宋"/>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14:paraId="117021AD">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14:paraId="1D6D0F7F">
            <w:pPr>
              <w:spacing w:line="440" w:lineRule="exact"/>
              <w:jc w:val="center"/>
              <w:rPr>
                <w:rFonts w:ascii="仿宋" w:hAnsi="仿宋" w:eastAsia="仿宋" w:cs="仿宋"/>
                <w:color w:val="auto"/>
                <w:sz w:val="24"/>
                <w:szCs w:val="24"/>
                <w:highlight w:val="none"/>
              </w:rPr>
            </w:pPr>
          </w:p>
        </w:tc>
      </w:tr>
      <w:tr w14:paraId="722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5334D28B">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2853" w:type="dxa"/>
            <w:gridSpan w:val="4"/>
            <w:tcBorders>
              <w:top w:val="single" w:color="auto" w:sz="4" w:space="0"/>
              <w:left w:val="single" w:color="auto" w:sz="4" w:space="0"/>
              <w:bottom w:val="single" w:color="auto" w:sz="4" w:space="0"/>
              <w:right w:val="single" w:color="auto" w:sz="4" w:space="0"/>
            </w:tcBorders>
            <w:noWrap w:val="0"/>
            <w:vAlign w:val="center"/>
          </w:tcPr>
          <w:p w14:paraId="3CA1A76C">
            <w:pPr>
              <w:spacing w:line="440" w:lineRule="exact"/>
              <w:jc w:val="center"/>
              <w:rPr>
                <w:rFonts w:ascii="仿宋" w:hAnsi="仿宋" w:eastAsia="仿宋" w:cs="仿宋"/>
                <w:color w:val="auto"/>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B7EDB2C">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2478" w:type="dxa"/>
            <w:gridSpan w:val="2"/>
            <w:tcBorders>
              <w:top w:val="single" w:color="auto" w:sz="4" w:space="0"/>
              <w:left w:val="single" w:color="auto" w:sz="4" w:space="0"/>
              <w:bottom w:val="single" w:color="auto" w:sz="4" w:space="0"/>
              <w:right w:val="single" w:color="auto" w:sz="4" w:space="0"/>
            </w:tcBorders>
            <w:noWrap w:val="0"/>
            <w:vAlign w:val="center"/>
          </w:tcPr>
          <w:p w14:paraId="33350095">
            <w:pPr>
              <w:spacing w:line="440" w:lineRule="exact"/>
              <w:jc w:val="center"/>
              <w:rPr>
                <w:rFonts w:ascii="仿宋" w:hAnsi="仿宋" w:eastAsia="仿宋" w:cs="仿宋"/>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14:paraId="48714D02">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14:paraId="16397A02">
            <w:pPr>
              <w:spacing w:line="440" w:lineRule="exact"/>
              <w:jc w:val="center"/>
              <w:rPr>
                <w:rFonts w:ascii="仿宋" w:hAnsi="仿宋" w:eastAsia="仿宋" w:cs="仿宋"/>
                <w:color w:val="auto"/>
                <w:sz w:val="24"/>
                <w:szCs w:val="24"/>
                <w:highlight w:val="none"/>
              </w:rPr>
            </w:pPr>
          </w:p>
        </w:tc>
      </w:tr>
      <w:tr w14:paraId="7632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833" w:type="dxa"/>
            <w:gridSpan w:val="3"/>
            <w:tcBorders>
              <w:top w:val="single" w:color="auto" w:sz="4" w:space="0"/>
              <w:left w:val="single" w:color="auto" w:sz="4" w:space="0"/>
              <w:bottom w:val="single" w:color="auto" w:sz="4" w:space="0"/>
              <w:right w:val="single" w:color="auto" w:sz="4" w:space="0"/>
            </w:tcBorders>
            <w:noWrap w:val="0"/>
            <w:vAlign w:val="center"/>
          </w:tcPr>
          <w:p w14:paraId="1FD5514E">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7412" w:type="dxa"/>
            <w:gridSpan w:val="9"/>
            <w:tcBorders>
              <w:top w:val="single" w:color="auto" w:sz="4" w:space="0"/>
              <w:left w:val="single" w:color="auto" w:sz="4" w:space="0"/>
              <w:bottom w:val="single" w:color="auto" w:sz="4" w:space="0"/>
              <w:right w:val="single" w:color="auto" w:sz="4" w:space="0"/>
            </w:tcBorders>
            <w:noWrap w:val="0"/>
            <w:vAlign w:val="center"/>
          </w:tcPr>
          <w:p w14:paraId="7E773726">
            <w:pPr>
              <w:spacing w:line="440" w:lineRule="exact"/>
              <w:jc w:val="center"/>
              <w:rPr>
                <w:rFonts w:ascii="仿宋" w:hAnsi="仿宋" w:eastAsia="仿宋" w:cs="仿宋"/>
                <w:color w:val="auto"/>
                <w:sz w:val="24"/>
                <w:szCs w:val="24"/>
                <w:highlight w:val="none"/>
              </w:rPr>
            </w:pPr>
          </w:p>
        </w:tc>
      </w:tr>
      <w:tr w14:paraId="7A57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833" w:type="dxa"/>
            <w:gridSpan w:val="3"/>
            <w:tcBorders>
              <w:top w:val="single" w:color="auto" w:sz="4" w:space="0"/>
              <w:left w:val="single" w:color="auto" w:sz="4" w:space="0"/>
              <w:bottom w:val="single" w:color="auto" w:sz="4" w:space="0"/>
              <w:right w:val="single" w:color="auto" w:sz="4" w:space="0"/>
            </w:tcBorders>
            <w:noWrap w:val="0"/>
            <w:vAlign w:val="center"/>
          </w:tcPr>
          <w:p w14:paraId="02929DA2">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工作职责描述</w:t>
            </w:r>
          </w:p>
        </w:tc>
        <w:tc>
          <w:tcPr>
            <w:tcW w:w="7412" w:type="dxa"/>
            <w:gridSpan w:val="9"/>
            <w:tcBorders>
              <w:top w:val="single" w:color="auto" w:sz="4" w:space="0"/>
              <w:left w:val="single" w:color="auto" w:sz="4" w:space="0"/>
              <w:bottom w:val="single" w:color="auto" w:sz="4" w:space="0"/>
              <w:right w:val="single" w:color="auto" w:sz="4" w:space="0"/>
            </w:tcBorders>
            <w:noWrap w:val="0"/>
            <w:vAlign w:val="center"/>
          </w:tcPr>
          <w:p w14:paraId="1052C015">
            <w:pPr>
              <w:spacing w:line="440" w:lineRule="exact"/>
              <w:jc w:val="center"/>
              <w:rPr>
                <w:rFonts w:ascii="仿宋" w:hAnsi="仿宋" w:eastAsia="仿宋" w:cs="仿宋"/>
                <w:color w:val="auto"/>
                <w:sz w:val="24"/>
                <w:szCs w:val="24"/>
                <w:highlight w:val="none"/>
              </w:rPr>
            </w:pPr>
          </w:p>
        </w:tc>
      </w:tr>
      <w:tr w14:paraId="335A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833" w:type="dxa"/>
            <w:gridSpan w:val="3"/>
            <w:tcBorders>
              <w:top w:val="single" w:color="auto" w:sz="4" w:space="0"/>
              <w:left w:val="single" w:color="auto" w:sz="4" w:space="0"/>
              <w:bottom w:val="single" w:color="auto" w:sz="4" w:space="0"/>
              <w:right w:val="single" w:color="auto" w:sz="4" w:space="0"/>
            </w:tcBorders>
            <w:noWrap w:val="0"/>
            <w:vAlign w:val="center"/>
          </w:tcPr>
          <w:p w14:paraId="7B745152">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服务于本公司的时间</w:t>
            </w:r>
          </w:p>
        </w:tc>
        <w:tc>
          <w:tcPr>
            <w:tcW w:w="7412" w:type="dxa"/>
            <w:gridSpan w:val="9"/>
            <w:tcBorders>
              <w:top w:val="single" w:color="auto" w:sz="4" w:space="0"/>
              <w:left w:val="single" w:color="auto" w:sz="4" w:space="0"/>
              <w:bottom w:val="single" w:color="auto" w:sz="4" w:space="0"/>
              <w:right w:val="single" w:color="auto" w:sz="4" w:space="0"/>
            </w:tcBorders>
            <w:noWrap w:val="0"/>
            <w:vAlign w:val="center"/>
          </w:tcPr>
          <w:p w14:paraId="42F3528E">
            <w:pPr>
              <w:spacing w:line="440" w:lineRule="exact"/>
              <w:jc w:val="center"/>
              <w:rPr>
                <w:rFonts w:ascii="仿宋" w:hAnsi="仿宋" w:eastAsia="仿宋" w:cs="仿宋"/>
                <w:color w:val="auto"/>
                <w:sz w:val="24"/>
                <w:szCs w:val="24"/>
                <w:highlight w:val="none"/>
              </w:rPr>
            </w:pPr>
          </w:p>
        </w:tc>
      </w:tr>
      <w:tr w14:paraId="2C3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245" w:type="dxa"/>
            <w:gridSpan w:val="12"/>
            <w:tcBorders>
              <w:top w:val="single" w:color="auto" w:sz="4" w:space="0"/>
              <w:left w:val="single" w:color="auto" w:sz="4" w:space="0"/>
              <w:bottom w:val="single" w:color="auto" w:sz="4" w:space="0"/>
              <w:right w:val="single" w:color="auto" w:sz="4" w:space="0"/>
            </w:tcBorders>
            <w:noWrap w:val="0"/>
            <w:vAlign w:val="center"/>
          </w:tcPr>
          <w:p w14:paraId="7117D5B2">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项目情况</w:t>
            </w:r>
          </w:p>
        </w:tc>
      </w:tr>
      <w:tr w14:paraId="41DF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5" w:type="dxa"/>
            <w:gridSpan w:val="2"/>
            <w:tcBorders>
              <w:top w:val="single" w:color="auto" w:sz="4" w:space="0"/>
              <w:left w:val="single" w:color="auto" w:sz="4" w:space="0"/>
              <w:bottom w:val="single" w:color="auto" w:sz="4" w:space="0"/>
              <w:right w:val="single" w:color="auto" w:sz="4" w:space="0"/>
            </w:tcBorders>
            <w:noWrap w:val="0"/>
            <w:vAlign w:val="center"/>
          </w:tcPr>
          <w:p w14:paraId="61861BBE">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业主单位</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14:paraId="384DF927">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21" w:type="dxa"/>
            <w:gridSpan w:val="3"/>
            <w:tcBorders>
              <w:top w:val="single" w:color="auto" w:sz="4" w:space="0"/>
              <w:left w:val="single" w:color="auto" w:sz="4" w:space="0"/>
              <w:bottom w:val="single" w:color="auto" w:sz="4" w:space="0"/>
              <w:right w:val="single" w:color="auto" w:sz="4" w:space="0"/>
            </w:tcBorders>
            <w:noWrap w:val="0"/>
            <w:vAlign w:val="center"/>
          </w:tcPr>
          <w:p w14:paraId="2FB6E51F">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1F54AAA7">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合同履约时间</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AD71CAA">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执行中或</w:t>
            </w:r>
          </w:p>
          <w:p w14:paraId="0D397E4C">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已 完</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45C8E8B">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93E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05" w:type="dxa"/>
            <w:gridSpan w:val="2"/>
            <w:tcBorders>
              <w:top w:val="single" w:color="auto" w:sz="4" w:space="0"/>
              <w:left w:val="single" w:color="auto" w:sz="4" w:space="0"/>
              <w:bottom w:val="single" w:color="auto" w:sz="4" w:space="0"/>
              <w:right w:val="single" w:color="auto" w:sz="4" w:space="0"/>
            </w:tcBorders>
            <w:noWrap w:val="0"/>
            <w:vAlign w:val="center"/>
          </w:tcPr>
          <w:p w14:paraId="2A573EC9">
            <w:pPr>
              <w:spacing w:line="440" w:lineRule="exact"/>
              <w:jc w:val="center"/>
              <w:rPr>
                <w:rFonts w:ascii="仿宋" w:hAnsi="仿宋" w:eastAsia="仿宋" w:cs="仿宋"/>
                <w:color w:val="auto"/>
                <w:sz w:val="24"/>
                <w:szCs w:val="24"/>
                <w:highlight w:val="none"/>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14:paraId="461EA4EA">
            <w:pPr>
              <w:spacing w:line="440" w:lineRule="exact"/>
              <w:jc w:val="center"/>
              <w:rPr>
                <w:rFonts w:ascii="仿宋" w:hAnsi="仿宋" w:eastAsia="仿宋" w:cs="仿宋"/>
                <w:color w:val="auto"/>
                <w:sz w:val="24"/>
                <w:szCs w:val="24"/>
                <w:highlight w:val="none"/>
              </w:rPr>
            </w:pPr>
          </w:p>
        </w:tc>
        <w:tc>
          <w:tcPr>
            <w:tcW w:w="1921" w:type="dxa"/>
            <w:gridSpan w:val="3"/>
            <w:tcBorders>
              <w:top w:val="single" w:color="auto" w:sz="4" w:space="0"/>
              <w:left w:val="single" w:color="auto" w:sz="4" w:space="0"/>
              <w:bottom w:val="single" w:color="auto" w:sz="4" w:space="0"/>
              <w:right w:val="single" w:color="auto" w:sz="4" w:space="0"/>
            </w:tcBorders>
            <w:noWrap w:val="0"/>
            <w:vAlign w:val="center"/>
          </w:tcPr>
          <w:p w14:paraId="0A238FA1">
            <w:pPr>
              <w:spacing w:line="440" w:lineRule="exact"/>
              <w:jc w:val="center"/>
              <w:rPr>
                <w:rFonts w:ascii="仿宋" w:hAnsi="仿宋" w:eastAsia="仿宋" w:cs="仿宋"/>
                <w:color w:val="auto"/>
                <w:sz w:val="24"/>
                <w:szCs w:val="24"/>
                <w:highlight w:val="none"/>
              </w:rPr>
            </w:pP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3AFE12A6">
            <w:pPr>
              <w:spacing w:line="440" w:lineRule="exact"/>
              <w:jc w:val="center"/>
              <w:rPr>
                <w:rFonts w:ascii="仿宋" w:hAnsi="仿宋" w:eastAsia="仿宋" w:cs="仿宋"/>
                <w:color w:val="auto"/>
                <w:sz w:val="24"/>
                <w:szCs w:val="24"/>
                <w:highlight w:val="none"/>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129EEBCB">
            <w:pPr>
              <w:spacing w:line="440" w:lineRule="exact"/>
              <w:jc w:val="center"/>
              <w:rPr>
                <w:rFonts w:ascii="仿宋" w:hAnsi="仿宋" w:eastAsia="仿宋" w:cs="仿宋"/>
                <w:color w:val="auto"/>
                <w:sz w:val="24"/>
                <w:szCs w:val="24"/>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7BFD448">
            <w:pPr>
              <w:spacing w:line="440" w:lineRule="exact"/>
              <w:jc w:val="center"/>
              <w:rPr>
                <w:rFonts w:ascii="仿宋" w:hAnsi="仿宋" w:eastAsia="仿宋" w:cs="仿宋"/>
                <w:color w:val="auto"/>
                <w:sz w:val="24"/>
                <w:szCs w:val="24"/>
                <w:highlight w:val="none"/>
              </w:rPr>
            </w:pPr>
          </w:p>
        </w:tc>
      </w:tr>
    </w:tbl>
    <w:p w14:paraId="3C0852C2">
      <w:pPr>
        <w:pStyle w:val="84"/>
        <w:spacing w:line="360" w:lineRule="auto"/>
        <w:ind w:firstLine="0"/>
        <w:rPr>
          <w:rFonts w:hint="eastAsia" w:ascii="宋体" w:hAnsi="宋体"/>
          <w:color w:val="auto"/>
          <w:highlight w:val="none"/>
        </w:rPr>
      </w:pPr>
    </w:p>
    <w:sectPr>
      <w:footerReference r:id="rId7" w:type="default"/>
      <w:pgSz w:w="11906" w:h="16838"/>
      <w:pgMar w:top="1440" w:right="1800" w:bottom="1440" w:left="1800" w:header="851" w:footer="992" w:gutter="0"/>
      <w:cols w:space="1701"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方头大狮子" w:date="2025-02-12T16:49:58Z" w:initials="">
    <w:p w14:paraId="665E1657">
      <w:pPr>
        <w:pStyle w:val="15"/>
        <w:rPr>
          <w:rFonts w:hint="default" w:eastAsia="宋体"/>
          <w:lang w:val="en-US" w:eastAsia="zh-CN"/>
        </w:rPr>
      </w:pPr>
      <w:r>
        <w:rPr>
          <w:rFonts w:hint="eastAsia"/>
          <w:lang w:val="en-US" w:eastAsia="zh-CN"/>
        </w:rPr>
        <w:t>评分调到评分标准里了</w:t>
      </w:r>
    </w:p>
  </w:comment>
  <w:comment w:id="1" w:author="方头大狮子" w:date="2025-02-12T14:01:13Z" w:initials="">
    <w:p w14:paraId="4630384B">
      <w:pPr>
        <w:pStyle w:val="15"/>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数据存储安全标准</w:t>
      </w:r>
      <w:r>
        <w:rPr>
          <w:rFonts w:hint="eastAsia" w:ascii="宋体" w:hAnsi="宋体" w:eastAsia="宋体" w:cs="宋体"/>
          <w:sz w:val="24"/>
          <w:szCs w:val="24"/>
          <w:lang w:val="en-US" w:eastAsia="zh-CN"/>
        </w:rPr>
        <w:t>办理条件要求实施3个月以上，建议删除</w:t>
      </w:r>
    </w:p>
  </w:comment>
  <w:comment w:id="2" w:author="方头大狮子" w:date="2025-02-12T14:04:26Z" w:initials="">
    <w:p w14:paraId="3C3FB9C1">
      <w:pPr>
        <w:pStyle w:val="15"/>
        <w:rPr>
          <w:rFonts w:hint="eastAsia" w:eastAsia="宋体"/>
          <w:lang w:val="en-US" w:eastAsia="zh-CN"/>
        </w:rPr>
      </w:pPr>
      <w:r>
        <w:rPr>
          <w:rFonts w:hint="eastAsia"/>
          <w:lang w:val="en-US" w:eastAsia="zh-CN"/>
        </w:rPr>
        <w:t>同上</w:t>
      </w:r>
    </w:p>
  </w:comment>
  <w:comment w:id="3" w:author="方头大狮子" w:date="2025-02-12T14:05:17Z" w:initials="">
    <w:p w14:paraId="429B6A79">
      <w:pPr>
        <w:pStyle w:val="15"/>
      </w:pPr>
      <w:r>
        <w:rPr>
          <w:rFonts w:hint="eastAsia" w:ascii="Arial" w:hAnsi="Arial" w:eastAsia="宋体" w:cs="Arial"/>
          <w:i w:val="0"/>
          <w:iCs w:val="0"/>
          <w:caps w:val="0"/>
          <w:color w:val="333333"/>
          <w:spacing w:val="0"/>
          <w:sz w:val="21"/>
          <w:szCs w:val="21"/>
          <w:shd w:val="clear" w:fill="FFFFFF"/>
          <w:lang w:val="en-US" w:eastAsia="zh-CN"/>
        </w:rPr>
        <w:t>同上，</w:t>
      </w:r>
      <w:r>
        <w:rPr>
          <w:rFonts w:ascii="Arial" w:hAnsi="Arial" w:eastAsia="宋体" w:cs="Arial"/>
          <w:i w:val="0"/>
          <w:iCs w:val="0"/>
          <w:caps w:val="0"/>
          <w:color w:val="333333"/>
          <w:spacing w:val="0"/>
          <w:sz w:val="21"/>
          <w:szCs w:val="21"/>
          <w:shd w:val="clear" w:fill="FFFFFF"/>
        </w:rPr>
        <w:t>业务连续性管理体系应至少运行三个月</w:t>
      </w:r>
    </w:p>
  </w:comment>
  <w:comment w:id="4" w:author="方头大狮子" w:date="2025-02-12T13:56:19Z" w:initials="">
    <w:p w14:paraId="2624958B">
      <w:pPr>
        <w:pStyle w:val="15"/>
        <w:rPr>
          <w:rFonts w:hint="default" w:eastAsia="宋体"/>
          <w:lang w:val="en-US" w:eastAsia="zh-CN"/>
        </w:rPr>
      </w:pPr>
      <w:r>
        <w:rPr>
          <w:rFonts w:hint="eastAsia"/>
          <w:lang w:val="en-US" w:eastAsia="zh-CN"/>
        </w:rPr>
        <w:t>建议时间予以明确，那年哪月那日开始</w:t>
      </w:r>
    </w:p>
  </w:comment>
  <w:comment w:id="5" w:author="方头大狮子" w:date="2025-02-12T13:51:32Z" w:initials="">
    <w:p w14:paraId="4AE2EAA3">
      <w:pPr>
        <w:pStyle w:val="15"/>
        <w:rPr>
          <w:rFonts w:hint="default" w:eastAsia="宋体"/>
          <w:lang w:val="en-US" w:eastAsia="zh-CN"/>
        </w:rPr>
      </w:pPr>
      <w:r>
        <w:rPr>
          <w:rFonts w:hint="eastAsia"/>
          <w:lang w:val="en-US" w:eastAsia="zh-CN"/>
        </w:rPr>
        <w:t>删除行业限定</w:t>
      </w:r>
    </w:p>
  </w:comment>
  <w:comment w:id="6" w:author="方头大狮子" w:date="2025-02-12T13:51:37Z" w:initials="">
    <w:p w14:paraId="1B0B24BC">
      <w:pPr>
        <w:pStyle w:val="15"/>
      </w:pPr>
      <w:r>
        <w:rPr>
          <w:rFonts w:hint="eastAsia"/>
          <w:lang w:val="en-US" w:eastAsia="zh-CN"/>
        </w:rPr>
        <w:t>删除行业限定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5E1657" w15:done="0"/>
  <w15:commentEx w15:paraId="4630384B" w15:done="0"/>
  <w15:commentEx w15:paraId="3C3FB9C1" w15:done="0"/>
  <w15:commentEx w15:paraId="429B6A79" w15:done="0"/>
  <w15:commentEx w15:paraId="2624958B" w15:done="0"/>
  <w15:commentEx w15:paraId="4AE2EAA3" w15:done="0"/>
  <w15:commentEx w15:paraId="1B0B24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方正仿宋_GBK">
    <w:altName w:val="微软雅黑"/>
    <w:panose1 w:val="020B0503020202020204"/>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137B">
    <w:pPr>
      <w:pStyle w:val="25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F284BF0">
                          <w:pPr>
                            <w:pStyle w:val="257"/>
                            <w:tabs>
                              <w:tab w:val="clear" w:pos="4153"/>
                              <w:tab w:val="clear" w:pos="8306"/>
                            </w:tabs>
                          </w:pPr>
                          <w:r>
                            <w:fldChar w:fldCharType="begin"/>
                          </w:r>
                          <w:r>
                            <w:instrText xml:space="preserve"> PAGE  \* MERGEFORMAT </w:instrText>
                          </w:r>
                          <w:r>
                            <w:fldChar w:fldCharType="separate"/>
                          </w:r>
                          <w:r>
                            <w:t>27</w:t>
                          </w:r>
                          <w:r>
                            <w:fldChar w:fldCharType="end"/>
                          </w:r>
                        </w:p>
                        <w:p w14:paraId="1ADBF17C"/>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hxnN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d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IhxnNYBAAC1AwAADgAAAAAAAAABACAAAAAe&#10;AQAAZHJzL2Uyb0RvYy54bWxQSwUGAAAAAAYABgBZAQAAZgUAAAAA&#10;">
              <v:fill on="f" focussize="0,0"/>
              <v:stroke on="f"/>
              <v:imagedata o:title=""/>
              <o:lock v:ext="edit" aspectratio="f"/>
              <v:textbox inset="0mm,0mm,0mm,0mm" style="mso-fit-shape-to-text:t;">
                <w:txbxContent>
                  <w:p w14:paraId="4F284BF0">
                    <w:pPr>
                      <w:pStyle w:val="257"/>
                      <w:tabs>
                        <w:tab w:val="clear" w:pos="4153"/>
                        <w:tab w:val="clear" w:pos="8306"/>
                      </w:tabs>
                    </w:pPr>
                    <w:r>
                      <w:fldChar w:fldCharType="begin"/>
                    </w:r>
                    <w:r>
                      <w:instrText xml:space="preserve"> PAGE  \* MERGEFORMAT </w:instrText>
                    </w:r>
                    <w:r>
                      <w:fldChar w:fldCharType="separate"/>
                    </w:r>
                    <w:r>
                      <w:t>27</w:t>
                    </w:r>
                    <w:r>
                      <w:fldChar w:fldCharType="end"/>
                    </w:r>
                  </w:p>
                  <w:p w14:paraId="1ADBF17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9471">
    <w:pPr>
      <w:pStyle w:val="2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6B5D9059">
                          <w:pPr>
                            <w:pStyle w:val="257"/>
                            <w:tabs>
                              <w:tab w:val="clear" w:pos="4153"/>
                              <w:tab w:val="clear" w:pos="8306"/>
                            </w:tabs>
                          </w:pPr>
                          <w:r>
                            <w:fldChar w:fldCharType="begin"/>
                          </w:r>
                          <w:r>
                            <w:instrText xml:space="preserve"> PAGE  \* MERGEFORMAT </w:instrText>
                          </w:r>
                          <w:r>
                            <w:fldChar w:fldCharType="separate"/>
                          </w:r>
                          <w:r>
                            <w:t>50</w:t>
                          </w:r>
                          <w:r>
                            <w:fldChar w:fldCharType="end"/>
                          </w:r>
                        </w:p>
                        <w:p w14:paraId="4381EE3B"/>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hHkR22AEAALUDAAAOAAAAAAAAAAEAIAAA&#10;AB4BAABkcnMvZTJvRG9jLnhtbFBLBQYAAAAABgAGAFkBAABoBQAAAAA=&#10;">
              <v:fill on="f" focussize="0,0"/>
              <v:stroke on="f"/>
              <v:imagedata o:title=""/>
              <o:lock v:ext="edit" aspectratio="f"/>
              <v:textbox inset="0mm,0mm,0mm,0mm" style="mso-fit-shape-to-text:t;">
                <w:txbxContent>
                  <w:p w14:paraId="6B5D9059">
                    <w:pPr>
                      <w:pStyle w:val="257"/>
                      <w:tabs>
                        <w:tab w:val="clear" w:pos="4153"/>
                        <w:tab w:val="clear" w:pos="8306"/>
                      </w:tabs>
                    </w:pPr>
                    <w:r>
                      <w:fldChar w:fldCharType="begin"/>
                    </w:r>
                    <w:r>
                      <w:instrText xml:space="preserve"> PAGE  \* MERGEFORMAT </w:instrText>
                    </w:r>
                    <w:r>
                      <w:fldChar w:fldCharType="separate"/>
                    </w:r>
                    <w:r>
                      <w:t>50</w:t>
                    </w:r>
                    <w:r>
                      <w:fldChar w:fldCharType="end"/>
                    </w:r>
                  </w:p>
                  <w:p w14:paraId="4381EE3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F1F4">
    <w:pPr>
      <w:pStyle w:val="259"/>
      <w:rPr>
        <w:szCs w:val="22"/>
      </w:rPr>
    </w:pPr>
    <w:bookmarkStart w:id="58" w:name="_Hlk69393955"/>
    <w:bookmarkStart w:id="59" w:name="_Hlk69393956"/>
    <w:r>
      <w:rPr>
        <w:rFonts w:hint="eastAsia"/>
      </w:rPr>
      <w:t xml:space="preserve">                                </w:t>
    </w:r>
    <w:bookmarkEnd w:id="58"/>
    <w:bookmarkEnd w:id="5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72AA9"/>
    <w:multiLevelType w:val="singleLevel"/>
    <w:tmpl w:val="85072AA9"/>
    <w:lvl w:ilvl="0" w:tentative="0">
      <w:start w:val="1"/>
      <w:numFmt w:val="decimal"/>
      <w:lvlText w:val="(%1)"/>
      <w:lvlJc w:val="left"/>
      <w:pPr>
        <w:ind w:left="425" w:hanging="425"/>
      </w:pPr>
      <w:rPr>
        <w:rFonts w:hint="default"/>
      </w:rPr>
    </w:lvl>
  </w:abstractNum>
  <w:abstractNum w:abstractNumId="1">
    <w:nsid w:val="8E7EDCE6"/>
    <w:multiLevelType w:val="singleLevel"/>
    <w:tmpl w:val="8E7EDCE6"/>
    <w:lvl w:ilvl="0" w:tentative="0">
      <w:start w:val="1"/>
      <w:numFmt w:val="decimal"/>
      <w:suff w:val="nothing"/>
      <w:lvlText w:val="%1、"/>
      <w:lvlJc w:val="left"/>
    </w:lvl>
  </w:abstractNum>
  <w:abstractNum w:abstractNumId="2">
    <w:nsid w:val="B5E306ED"/>
    <w:multiLevelType w:val="multilevel"/>
    <w:tmpl w:val="B5E306ED"/>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9884E96"/>
    <w:multiLevelType w:val="singleLevel"/>
    <w:tmpl w:val="B9884E96"/>
    <w:lvl w:ilvl="0" w:tentative="0">
      <w:start w:val="1"/>
      <w:numFmt w:val="chineseCounting"/>
      <w:suff w:val="nothing"/>
      <w:lvlText w:val="%1、"/>
      <w:lvlJc w:val="left"/>
      <w:rPr>
        <w:rFonts w:hint="eastAsia"/>
      </w:rPr>
    </w:lvl>
  </w:abstractNum>
  <w:abstractNum w:abstractNumId="4">
    <w:nsid w:val="BE23BC3E"/>
    <w:multiLevelType w:val="singleLevel"/>
    <w:tmpl w:val="BE23BC3E"/>
    <w:lvl w:ilvl="0" w:tentative="0">
      <w:start w:val="1"/>
      <w:numFmt w:val="decimal"/>
      <w:lvlText w:val="(%1)"/>
      <w:lvlJc w:val="left"/>
      <w:pPr>
        <w:ind w:left="425" w:hanging="425"/>
      </w:pPr>
      <w:rPr>
        <w:rFonts w:hint="default"/>
      </w:rPr>
    </w:lvl>
  </w:abstractNum>
  <w:abstractNum w:abstractNumId="5">
    <w:nsid w:val="BF205925"/>
    <w:multiLevelType w:val="multilevel"/>
    <w:tmpl w:val="BF205925"/>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CF092B84"/>
    <w:multiLevelType w:val="multilevel"/>
    <w:tmpl w:val="CF092B84"/>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E1B564B1"/>
    <w:multiLevelType w:val="singleLevel"/>
    <w:tmpl w:val="E1B564B1"/>
    <w:lvl w:ilvl="0" w:tentative="0">
      <w:start w:val="1"/>
      <w:numFmt w:val="decimal"/>
      <w:lvlText w:val="(%1)"/>
      <w:lvlJc w:val="left"/>
      <w:pPr>
        <w:ind w:left="425" w:hanging="425"/>
      </w:pPr>
      <w:rPr>
        <w:rFonts w:hint="default"/>
      </w:rPr>
    </w:lvl>
  </w:abstractNum>
  <w:abstractNum w:abstractNumId="8">
    <w:nsid w:val="111EBD12"/>
    <w:multiLevelType w:val="singleLevel"/>
    <w:tmpl w:val="111EBD12"/>
    <w:lvl w:ilvl="0" w:tentative="0">
      <w:start w:val="1"/>
      <w:numFmt w:val="decimal"/>
      <w:lvlText w:val="(%1)"/>
      <w:lvlJc w:val="left"/>
      <w:pPr>
        <w:ind w:left="425" w:hanging="425"/>
      </w:pPr>
      <w:rPr>
        <w:rFonts w:hint="default"/>
      </w:rPr>
    </w:lvl>
  </w:abstractNum>
  <w:abstractNum w:abstractNumId="9">
    <w:nsid w:val="3E09BE68"/>
    <w:multiLevelType w:val="singleLevel"/>
    <w:tmpl w:val="3E09BE68"/>
    <w:lvl w:ilvl="0" w:tentative="0">
      <w:start w:val="1"/>
      <w:numFmt w:val="decimal"/>
      <w:lvlText w:val="(%1)"/>
      <w:lvlJc w:val="left"/>
      <w:pPr>
        <w:ind w:left="425" w:hanging="425"/>
      </w:pPr>
      <w:rPr>
        <w:rFonts w:hint="default"/>
      </w:rPr>
    </w:lvl>
  </w:abstractNum>
  <w:abstractNum w:abstractNumId="10">
    <w:nsid w:val="435EC0E8"/>
    <w:multiLevelType w:val="singleLevel"/>
    <w:tmpl w:val="435EC0E8"/>
    <w:lvl w:ilvl="0" w:tentative="0">
      <w:start w:val="1"/>
      <w:numFmt w:val="decimal"/>
      <w:suff w:val="nothing"/>
      <w:lvlText w:val="%1、"/>
      <w:lvlJc w:val="left"/>
    </w:lvl>
  </w:abstractNum>
  <w:abstractNum w:abstractNumId="11">
    <w:nsid w:val="4D4DC07F"/>
    <w:multiLevelType w:val="multilevel"/>
    <w:tmpl w:val="4D4DC07F"/>
    <w:lvl w:ilvl="0" w:tentative="0">
      <w:start w:val="1"/>
      <w:numFmt w:val="bullet"/>
      <w:pStyle w:val="45"/>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2">
    <w:nsid w:val="60514DA0"/>
    <w:multiLevelType w:val="singleLevel"/>
    <w:tmpl w:val="60514DA0"/>
    <w:lvl w:ilvl="0" w:tentative="0">
      <w:start w:val="1"/>
      <w:numFmt w:val="decimal"/>
      <w:lvlText w:val="(%1)"/>
      <w:lvlJc w:val="left"/>
      <w:pPr>
        <w:ind w:left="425" w:hanging="425"/>
      </w:pPr>
      <w:rPr>
        <w:rFonts w:hint="default"/>
      </w:rPr>
    </w:lvl>
  </w:abstractNum>
  <w:abstractNum w:abstractNumId="13">
    <w:nsid w:val="63FF461D"/>
    <w:multiLevelType w:val="singleLevel"/>
    <w:tmpl w:val="63FF461D"/>
    <w:lvl w:ilvl="0" w:tentative="0">
      <w:start w:val="1"/>
      <w:numFmt w:val="decimal"/>
      <w:lvlText w:val="(%1)"/>
      <w:lvlJc w:val="left"/>
      <w:pPr>
        <w:ind w:left="425" w:hanging="425"/>
      </w:pPr>
      <w:rPr>
        <w:rFonts w:hint="default"/>
      </w:rPr>
    </w:lvl>
  </w:abstractNum>
  <w:num w:numId="1">
    <w:abstractNumId w:val="11"/>
  </w:num>
  <w:num w:numId="2">
    <w:abstractNumId w:val="1"/>
  </w:num>
  <w:num w:numId="3">
    <w:abstractNumId w:val="13"/>
  </w:num>
  <w:num w:numId="4">
    <w:abstractNumId w:val="8"/>
  </w:num>
  <w:num w:numId="5">
    <w:abstractNumId w:val="7"/>
  </w:num>
  <w:num w:numId="6">
    <w:abstractNumId w:val="9"/>
  </w:num>
  <w:num w:numId="7">
    <w:abstractNumId w:val="12"/>
  </w:num>
  <w:num w:numId="8">
    <w:abstractNumId w:val="0"/>
  </w:num>
  <w:num w:numId="9">
    <w:abstractNumId w:val="4"/>
  </w:num>
  <w:num w:numId="10">
    <w:abstractNumId w:val="3"/>
  </w:num>
  <w:num w:numId="11">
    <w:abstractNumId w:val="10"/>
  </w:num>
  <w:num w:numId="12">
    <w:abstractNumId w:val="6"/>
  </w:num>
  <w:num w:numId="13">
    <w:abstractNumId w:val="5"/>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头大狮子">
    <w15:presenceInfo w15:providerId="WPS Office" w15:userId="1479288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10915"/>
    <w:rsid w:val="0D8664C0"/>
    <w:rsid w:val="10F863AD"/>
    <w:rsid w:val="1C294C38"/>
    <w:rsid w:val="1E466565"/>
    <w:rsid w:val="2964021F"/>
    <w:rsid w:val="2B1E2A5D"/>
    <w:rsid w:val="2BC30794"/>
    <w:rsid w:val="32A001FB"/>
    <w:rsid w:val="366D7887"/>
    <w:rsid w:val="3A865F28"/>
    <w:rsid w:val="3C2459F9"/>
    <w:rsid w:val="3FE35F09"/>
    <w:rsid w:val="422A5E1B"/>
    <w:rsid w:val="439154EF"/>
    <w:rsid w:val="45992FB4"/>
    <w:rsid w:val="526360EB"/>
    <w:rsid w:val="5AA32630"/>
    <w:rsid w:val="61DC605D"/>
    <w:rsid w:val="62A0552A"/>
    <w:rsid w:val="66CC2D91"/>
    <w:rsid w:val="6CCD7863"/>
    <w:rsid w:val="6EB6224F"/>
    <w:rsid w:val="6EBF78C0"/>
    <w:rsid w:val="74AF5AA0"/>
    <w:rsid w:val="77732DB5"/>
    <w:rsid w:val="79975481"/>
    <w:rsid w:val="7DB21246"/>
    <w:rsid w:val="7ECD724F"/>
    <w:rsid w:val="7F207CC7"/>
    <w:rsid w:val="7FD40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3">
    <w:name w:val="heading 1"/>
    <w:basedOn w:val="1"/>
    <w:next w:val="1"/>
    <w:link w:val="89"/>
    <w:qFormat/>
    <w:uiPriority w:val="9"/>
    <w:pPr>
      <w:keepNext/>
      <w:keepLines/>
      <w:spacing w:before="100" w:after="100" w:line="360" w:lineRule="auto"/>
      <w:outlineLvl w:val="0"/>
    </w:pPr>
    <w:rPr>
      <w:rFonts w:ascii="Arial" w:hAnsi="Arial" w:cs="Arial"/>
      <w:b/>
      <w:sz w:val="44"/>
      <w:szCs w:val="40"/>
    </w:rPr>
  </w:style>
  <w:style w:type="paragraph" w:styleId="4">
    <w:name w:val="heading 2"/>
    <w:basedOn w:val="1"/>
    <w:next w:val="1"/>
    <w:link w:val="90"/>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9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92"/>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93"/>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94"/>
    <w:unhideWhenUsed/>
    <w:qFormat/>
    <w:uiPriority w:val="9"/>
    <w:pPr>
      <w:keepNext/>
      <w:keepLines/>
      <w:spacing w:before="320" w:after="200"/>
      <w:outlineLvl w:val="5"/>
    </w:pPr>
    <w:rPr>
      <w:rFonts w:ascii="Arial" w:hAnsi="Arial" w:eastAsia="Arial" w:cs="Arial"/>
      <w:b/>
      <w:bCs/>
      <w:sz w:val="22"/>
    </w:rPr>
  </w:style>
  <w:style w:type="paragraph" w:styleId="9">
    <w:name w:val="heading 7"/>
    <w:basedOn w:val="1"/>
    <w:next w:val="1"/>
    <w:link w:val="95"/>
    <w:unhideWhenUsed/>
    <w:qFormat/>
    <w:uiPriority w:val="9"/>
    <w:pPr>
      <w:keepNext/>
      <w:keepLines/>
      <w:spacing w:before="320" w:after="200"/>
      <w:outlineLvl w:val="6"/>
    </w:pPr>
    <w:rPr>
      <w:rFonts w:ascii="Arial" w:hAnsi="Arial" w:eastAsia="Arial" w:cs="Arial"/>
      <w:b/>
      <w:bCs/>
      <w:i/>
      <w:iCs/>
      <w:sz w:val="22"/>
    </w:rPr>
  </w:style>
  <w:style w:type="paragraph" w:styleId="10">
    <w:name w:val="heading 8"/>
    <w:basedOn w:val="1"/>
    <w:next w:val="1"/>
    <w:link w:val="96"/>
    <w:unhideWhenUsed/>
    <w:qFormat/>
    <w:uiPriority w:val="9"/>
    <w:pPr>
      <w:keepNext/>
      <w:keepLines/>
      <w:spacing w:before="320" w:after="200"/>
      <w:outlineLvl w:val="7"/>
    </w:pPr>
    <w:rPr>
      <w:rFonts w:ascii="Arial" w:hAnsi="Arial" w:eastAsia="Arial" w:cs="Arial"/>
      <w:i/>
      <w:iCs/>
      <w:sz w:val="22"/>
    </w:rPr>
  </w:style>
  <w:style w:type="paragraph" w:styleId="11">
    <w:name w:val="heading 9"/>
    <w:basedOn w:val="1"/>
    <w:next w:val="1"/>
    <w:link w:val="97"/>
    <w:unhideWhenUsed/>
    <w:qFormat/>
    <w:uiPriority w:val="9"/>
    <w:pPr>
      <w:keepNext/>
      <w:keepLines/>
      <w:spacing w:before="320" w:after="200"/>
      <w:outlineLvl w:val="8"/>
    </w:pPr>
    <w:rPr>
      <w:rFonts w:ascii="Arial" w:hAnsi="Arial" w:eastAsia="Arial" w:cs="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pPr>
    <w:rPr>
      <w:szCs w:val="24"/>
    </w:rPr>
  </w:style>
  <w:style w:type="paragraph" w:styleId="12">
    <w:name w:val="toc 7"/>
    <w:basedOn w:val="1"/>
    <w:next w:val="1"/>
    <w:unhideWhenUsed/>
    <w:qFormat/>
    <w:uiPriority w:val="39"/>
    <w:pPr>
      <w:spacing w:after="57"/>
      <w:ind w:left="1701"/>
    </w:pPr>
  </w:style>
  <w:style w:type="paragraph" w:styleId="13">
    <w:name w:val="Normal Indent"/>
    <w:basedOn w:val="1"/>
    <w:next w:val="1"/>
    <w:unhideWhenUsed/>
    <w:qFormat/>
    <w:uiPriority w:val="0"/>
    <w:pPr>
      <w:ind w:firstLine="42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301"/>
    <w:semiHidden/>
    <w:unhideWhenUsed/>
    <w:qFormat/>
    <w:uiPriority w:val="99"/>
    <w:pPr>
      <w:jc w:val="left"/>
    </w:pPr>
  </w:style>
  <w:style w:type="paragraph" w:styleId="16">
    <w:name w:val="Body Text"/>
    <w:basedOn w:val="1"/>
    <w:unhideWhenUsed/>
    <w:qFormat/>
    <w:uiPriority w:val="99"/>
    <w:rPr>
      <w:rFonts w:ascii="楷体_GB2312" w:hAnsi="Arial" w:eastAsia="楷体_GB2312"/>
      <w:sz w:val="28"/>
      <w:szCs w:val="28"/>
    </w:rPr>
  </w:style>
  <w:style w:type="paragraph" w:styleId="17">
    <w:name w:val="Body Text Indent"/>
    <w:basedOn w:val="1"/>
    <w:next w:val="1"/>
    <w:qFormat/>
    <w:uiPriority w:val="0"/>
    <w:pPr>
      <w:spacing w:after="120"/>
      <w:ind w:left="420"/>
    </w:pPr>
    <w:rPr>
      <w:rFonts w:ascii="等线" w:hAnsi="等线" w:eastAsia="等线"/>
    </w:rPr>
  </w:style>
  <w:style w:type="paragraph" w:styleId="18">
    <w:name w:val="toc 5"/>
    <w:basedOn w:val="1"/>
    <w:next w:val="1"/>
    <w:unhideWhenUsed/>
    <w:qFormat/>
    <w:uiPriority w:val="39"/>
    <w:pPr>
      <w:spacing w:after="57"/>
      <w:ind w:left="1134"/>
    </w:pPr>
  </w:style>
  <w:style w:type="paragraph" w:styleId="19">
    <w:name w:val="toc 3"/>
    <w:basedOn w:val="1"/>
    <w:next w:val="1"/>
    <w:unhideWhenUsed/>
    <w:qFormat/>
    <w:uiPriority w:val="39"/>
    <w:pPr>
      <w:spacing w:after="57"/>
      <w:ind w:left="567"/>
    </w:pPr>
  </w:style>
  <w:style w:type="paragraph" w:styleId="20">
    <w:name w:val="Plain Text"/>
    <w:basedOn w:val="1"/>
    <w:unhideWhenUsed/>
    <w:qFormat/>
    <w:uiPriority w:val="99"/>
    <w:rPr>
      <w:rFonts w:ascii="宋体" w:hAnsi="Courier New"/>
      <w:sz w:val="20"/>
      <w:szCs w:val="20"/>
    </w:rPr>
  </w:style>
  <w:style w:type="paragraph" w:styleId="21">
    <w:name w:val="toc 8"/>
    <w:basedOn w:val="1"/>
    <w:next w:val="1"/>
    <w:unhideWhenUsed/>
    <w:qFormat/>
    <w:uiPriority w:val="39"/>
    <w:pPr>
      <w:spacing w:after="57"/>
      <w:ind w:left="1984"/>
    </w:pPr>
  </w:style>
  <w:style w:type="paragraph" w:styleId="22">
    <w:name w:val="endnote text"/>
    <w:basedOn w:val="1"/>
    <w:link w:val="234"/>
    <w:semiHidden/>
    <w:unhideWhenUsed/>
    <w:qFormat/>
    <w:uiPriority w:val="99"/>
    <w:rPr>
      <w:sz w:val="20"/>
    </w:rPr>
  </w:style>
  <w:style w:type="paragraph" w:styleId="23">
    <w:name w:val="Balloon Text"/>
    <w:basedOn w:val="1"/>
    <w:link w:val="299"/>
    <w:semiHidden/>
    <w:unhideWhenUsed/>
    <w:qFormat/>
    <w:uiPriority w:val="99"/>
    <w:rPr>
      <w:sz w:val="18"/>
      <w:szCs w:val="18"/>
    </w:rPr>
  </w:style>
  <w:style w:type="paragraph" w:styleId="24">
    <w:name w:val="footer"/>
    <w:basedOn w:val="1"/>
    <w:link w:val="107"/>
    <w:unhideWhenUsed/>
    <w:qFormat/>
    <w:uiPriority w:val="99"/>
    <w:pPr>
      <w:tabs>
        <w:tab w:val="center" w:pos="7143"/>
        <w:tab w:val="right" w:pos="14287"/>
      </w:tabs>
    </w:pPr>
  </w:style>
  <w:style w:type="paragraph" w:styleId="25">
    <w:name w:val="envelope return"/>
    <w:basedOn w:val="1"/>
    <w:unhideWhenUsed/>
    <w:qFormat/>
    <w:uiPriority w:val="99"/>
    <w:rPr>
      <w:rFonts w:ascii="Cambria" w:hAnsi="Cambria"/>
    </w:rPr>
  </w:style>
  <w:style w:type="paragraph" w:styleId="26">
    <w:name w:val="header"/>
    <w:basedOn w:val="1"/>
    <w:link w:val="105"/>
    <w:unhideWhenUsed/>
    <w:qFormat/>
    <w:uiPriority w:val="99"/>
    <w:pPr>
      <w:tabs>
        <w:tab w:val="center" w:pos="7143"/>
        <w:tab w:val="right" w:pos="14287"/>
      </w:tabs>
    </w:pPr>
  </w:style>
  <w:style w:type="paragraph" w:styleId="27">
    <w:name w:val="toc 1"/>
    <w:basedOn w:val="1"/>
    <w:next w:val="1"/>
    <w:unhideWhenUsed/>
    <w:qFormat/>
    <w:uiPriority w:val="39"/>
    <w:pPr>
      <w:spacing w:after="57"/>
    </w:pPr>
  </w:style>
  <w:style w:type="paragraph" w:styleId="28">
    <w:name w:val="toc 4"/>
    <w:basedOn w:val="1"/>
    <w:next w:val="1"/>
    <w:unhideWhenUsed/>
    <w:qFormat/>
    <w:uiPriority w:val="39"/>
    <w:pPr>
      <w:spacing w:after="57"/>
      <w:ind w:left="850"/>
    </w:pPr>
  </w:style>
  <w:style w:type="paragraph" w:styleId="29">
    <w:name w:val="Subtitle"/>
    <w:basedOn w:val="1"/>
    <w:next w:val="1"/>
    <w:link w:val="100"/>
    <w:qFormat/>
    <w:uiPriority w:val="11"/>
    <w:pPr>
      <w:spacing w:before="200" w:after="200"/>
    </w:pPr>
    <w:rPr>
      <w:sz w:val="24"/>
      <w:szCs w:val="24"/>
    </w:rPr>
  </w:style>
  <w:style w:type="paragraph" w:styleId="30">
    <w:name w:val="footnote text"/>
    <w:basedOn w:val="1"/>
    <w:link w:val="233"/>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pPr>
  </w:style>
  <w:style w:type="paragraph" w:styleId="35">
    <w:name w:val="Title"/>
    <w:basedOn w:val="1"/>
    <w:next w:val="1"/>
    <w:link w:val="99"/>
    <w:qFormat/>
    <w:uiPriority w:val="10"/>
    <w:pPr>
      <w:spacing w:before="300" w:after="200"/>
      <w:contextualSpacing/>
    </w:pPr>
    <w:rPr>
      <w:sz w:val="48"/>
      <w:szCs w:val="48"/>
    </w:rPr>
  </w:style>
  <w:style w:type="paragraph" w:styleId="36">
    <w:name w:val="annotation subject"/>
    <w:basedOn w:val="15"/>
    <w:next w:val="15"/>
    <w:link w:val="302"/>
    <w:semiHidden/>
    <w:unhideWhenUsed/>
    <w:qFormat/>
    <w:uiPriority w:val="99"/>
    <w:rPr>
      <w:b/>
      <w:bCs/>
    </w:rPr>
  </w:style>
  <w:style w:type="table" w:styleId="3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0"/>
    <w:rPr>
      <w:rFonts w:ascii="Times New Roman" w:hAnsi="Times New Roman" w:eastAsia="宋体" w:cs="Times New Roman"/>
      <w:b/>
      <w:bCs/>
    </w:rPr>
  </w:style>
  <w:style w:type="character" w:styleId="41">
    <w:name w:val="endnote reference"/>
    <w:semiHidden/>
    <w:unhideWhenUsed/>
    <w:qFormat/>
    <w:uiPriority w:val="99"/>
    <w:rPr>
      <w:vertAlign w:val="superscript"/>
    </w:rPr>
  </w:style>
  <w:style w:type="character" w:styleId="42">
    <w:name w:val="Hyperlink"/>
    <w:unhideWhenUsed/>
    <w:qFormat/>
    <w:uiPriority w:val="99"/>
    <w:rPr>
      <w:color w:val="0000FF" w:themeColor="hyperlink"/>
      <w:u w:val="single"/>
      <w14:textFill>
        <w14:solidFill>
          <w14:schemeClr w14:val="hlink"/>
        </w14:solidFill>
      </w14:textFill>
    </w:rPr>
  </w:style>
  <w:style w:type="character" w:styleId="43">
    <w:name w:val="annotation reference"/>
    <w:basedOn w:val="39"/>
    <w:semiHidden/>
    <w:unhideWhenUsed/>
    <w:qFormat/>
    <w:uiPriority w:val="99"/>
    <w:rPr>
      <w:sz w:val="21"/>
      <w:szCs w:val="21"/>
    </w:rPr>
  </w:style>
  <w:style w:type="character" w:styleId="44">
    <w:name w:val="footnote reference"/>
    <w:unhideWhenUsed/>
    <w:qFormat/>
    <w:uiPriority w:val="99"/>
    <w:rPr>
      <w:vertAlign w:val="superscript"/>
    </w:rPr>
  </w:style>
  <w:style w:type="paragraph" w:customStyle="1" w:styleId="45">
    <w:name w:val="列表项目符号 21"/>
    <w:basedOn w:val="1"/>
    <w:unhideWhenUsed/>
    <w:qFormat/>
    <w:uiPriority w:val="0"/>
    <w:pPr>
      <w:numPr>
        <w:ilvl w:val="0"/>
        <w:numId w:val="1"/>
      </w:numPr>
    </w:pPr>
  </w:style>
  <w:style w:type="character" w:customStyle="1" w:styleId="46">
    <w:name w:val="Heading 1 Char"/>
    <w:basedOn w:val="39"/>
    <w:qFormat/>
    <w:uiPriority w:val="9"/>
    <w:rPr>
      <w:rFonts w:ascii="Arial" w:hAnsi="Arial" w:eastAsia="Arial" w:cs="Arial"/>
      <w:sz w:val="40"/>
      <w:szCs w:val="40"/>
    </w:rPr>
  </w:style>
  <w:style w:type="character" w:customStyle="1" w:styleId="47">
    <w:name w:val="Heading 2 Char"/>
    <w:basedOn w:val="39"/>
    <w:qFormat/>
    <w:uiPriority w:val="9"/>
    <w:rPr>
      <w:rFonts w:ascii="Arial" w:hAnsi="Arial" w:eastAsia="Arial" w:cs="Arial"/>
      <w:sz w:val="34"/>
    </w:rPr>
  </w:style>
  <w:style w:type="character" w:customStyle="1" w:styleId="48">
    <w:name w:val="Heading 3 Char"/>
    <w:basedOn w:val="39"/>
    <w:qFormat/>
    <w:uiPriority w:val="9"/>
    <w:rPr>
      <w:rFonts w:ascii="Arial" w:hAnsi="Arial" w:eastAsia="Arial" w:cs="Arial"/>
      <w:sz w:val="30"/>
      <w:szCs w:val="30"/>
    </w:rPr>
  </w:style>
  <w:style w:type="character" w:customStyle="1" w:styleId="49">
    <w:name w:val="Heading 4 Char"/>
    <w:basedOn w:val="39"/>
    <w:qFormat/>
    <w:uiPriority w:val="9"/>
    <w:rPr>
      <w:rFonts w:ascii="Arial" w:hAnsi="Arial" w:eastAsia="Arial" w:cs="Arial"/>
      <w:b/>
      <w:bCs/>
      <w:sz w:val="26"/>
      <w:szCs w:val="26"/>
    </w:rPr>
  </w:style>
  <w:style w:type="character" w:customStyle="1" w:styleId="50">
    <w:name w:val="Heading 5 Char"/>
    <w:basedOn w:val="39"/>
    <w:qFormat/>
    <w:uiPriority w:val="9"/>
    <w:rPr>
      <w:rFonts w:ascii="Arial" w:hAnsi="Arial" w:eastAsia="Arial" w:cs="Arial"/>
      <w:b/>
      <w:bCs/>
      <w:sz w:val="24"/>
      <w:szCs w:val="24"/>
    </w:rPr>
  </w:style>
  <w:style w:type="character" w:customStyle="1" w:styleId="51">
    <w:name w:val="Heading 6 Char"/>
    <w:basedOn w:val="39"/>
    <w:qFormat/>
    <w:uiPriority w:val="9"/>
    <w:rPr>
      <w:rFonts w:ascii="Arial" w:hAnsi="Arial" w:eastAsia="Arial" w:cs="Arial"/>
      <w:b/>
      <w:bCs/>
      <w:sz w:val="22"/>
      <w:szCs w:val="22"/>
    </w:rPr>
  </w:style>
  <w:style w:type="character" w:customStyle="1" w:styleId="52">
    <w:name w:val="Heading 7 Char"/>
    <w:basedOn w:val="39"/>
    <w:qFormat/>
    <w:uiPriority w:val="9"/>
    <w:rPr>
      <w:rFonts w:ascii="Arial" w:hAnsi="Arial" w:eastAsia="Arial" w:cs="Arial"/>
      <w:b/>
      <w:bCs/>
      <w:i/>
      <w:iCs/>
      <w:sz w:val="22"/>
      <w:szCs w:val="22"/>
    </w:rPr>
  </w:style>
  <w:style w:type="character" w:customStyle="1" w:styleId="53">
    <w:name w:val="Heading 8 Char"/>
    <w:basedOn w:val="39"/>
    <w:qFormat/>
    <w:uiPriority w:val="9"/>
    <w:rPr>
      <w:rFonts w:ascii="Arial" w:hAnsi="Arial" w:eastAsia="Arial" w:cs="Arial"/>
      <w:i/>
      <w:iCs/>
      <w:sz w:val="22"/>
      <w:szCs w:val="22"/>
    </w:rPr>
  </w:style>
  <w:style w:type="character" w:customStyle="1" w:styleId="54">
    <w:name w:val="Heading 9 Char"/>
    <w:basedOn w:val="39"/>
    <w:qFormat/>
    <w:uiPriority w:val="9"/>
    <w:rPr>
      <w:rFonts w:ascii="Arial" w:hAnsi="Arial" w:eastAsia="Arial" w:cs="Arial"/>
      <w:i/>
      <w:iCs/>
      <w:sz w:val="21"/>
      <w:szCs w:val="21"/>
    </w:rPr>
  </w:style>
  <w:style w:type="character" w:customStyle="1" w:styleId="55">
    <w:name w:val="Title Char"/>
    <w:basedOn w:val="39"/>
    <w:qFormat/>
    <w:uiPriority w:val="10"/>
    <w:rPr>
      <w:sz w:val="48"/>
      <w:szCs w:val="48"/>
    </w:rPr>
  </w:style>
  <w:style w:type="character" w:customStyle="1" w:styleId="56">
    <w:name w:val="Subtitle Char"/>
    <w:basedOn w:val="39"/>
    <w:qFormat/>
    <w:uiPriority w:val="11"/>
    <w:rPr>
      <w:sz w:val="24"/>
      <w:szCs w:val="24"/>
    </w:rPr>
  </w:style>
  <w:style w:type="character" w:customStyle="1" w:styleId="57">
    <w:name w:val="Quote Char"/>
    <w:qFormat/>
    <w:uiPriority w:val="29"/>
    <w:rPr>
      <w:i/>
    </w:rPr>
  </w:style>
  <w:style w:type="character" w:customStyle="1" w:styleId="58">
    <w:name w:val="Intense Quote Char"/>
    <w:qFormat/>
    <w:uiPriority w:val="30"/>
    <w:rPr>
      <w:i/>
    </w:rPr>
  </w:style>
  <w:style w:type="character" w:customStyle="1" w:styleId="59">
    <w:name w:val="Header Char"/>
    <w:basedOn w:val="39"/>
    <w:qFormat/>
    <w:uiPriority w:val="99"/>
  </w:style>
  <w:style w:type="character" w:customStyle="1" w:styleId="60">
    <w:name w:val="Caption Char"/>
    <w:qFormat/>
    <w:uiPriority w:val="99"/>
  </w:style>
  <w:style w:type="table" w:customStyle="1" w:styleId="61">
    <w:name w:val="Plain Table 1"/>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basedOn w:val="3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basedOn w:val="3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basedOn w:val="3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basedOn w:val="3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2"/>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3"/>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4"/>
    <w:basedOn w:val="3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5 Dark"/>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1">
    <w:name w:val="Grid Table 6 Colorful"/>
    <w:basedOn w:val="3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2">
    <w:name w:val="Grid Table 7 Colorful"/>
    <w:basedOn w:val="3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3">
    <w:name w:val="List Table 1 Light"/>
    <w:basedOn w:val="3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4">
    <w:name w:val="List Table 2"/>
    <w:basedOn w:val="3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5">
    <w:name w:val="List Table 3"/>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6">
    <w:name w:val="List Table 4"/>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7">
    <w:name w:val="List Table 5 Dark"/>
    <w:basedOn w:val="3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8">
    <w:name w:val="List Table 6 Colorful"/>
    <w:basedOn w:val="3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9">
    <w:name w:val="List Table 7 Colorful"/>
    <w:basedOn w:val="3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0">
    <w:name w:val="Footnote Text Char"/>
    <w:qFormat/>
    <w:uiPriority w:val="99"/>
    <w:rPr>
      <w:sz w:val="18"/>
    </w:rPr>
  </w:style>
  <w:style w:type="character" w:customStyle="1" w:styleId="81">
    <w:name w:val="Endnote Text Char"/>
    <w:qFormat/>
    <w:uiPriority w:val="99"/>
    <w:rPr>
      <w:sz w:val="20"/>
    </w:rPr>
  </w:style>
  <w:style w:type="paragraph" w:customStyle="1" w:styleId="82">
    <w:name w:val="TOC Heading"/>
    <w:unhideWhenUsed/>
    <w:qFormat/>
    <w:uiPriority w:val="39"/>
    <w:rPr>
      <w:rFonts w:hint="default" w:ascii="Times New Roman" w:hAnsi="Times New Roman" w:eastAsia="宋体" w:cs="Times New Roman"/>
    </w:rPr>
  </w:style>
  <w:style w:type="paragraph" w:customStyle="1" w:styleId="83">
    <w:name w:val="正文（缩进）"/>
    <w:basedOn w:val="1"/>
    <w:qFormat/>
    <w:uiPriority w:val="0"/>
    <w:pPr>
      <w:spacing w:before="156" w:after="156"/>
      <w:ind w:firstLine="480"/>
    </w:pPr>
  </w:style>
  <w:style w:type="paragraph" w:customStyle="1" w:styleId="84">
    <w:name w:val="正文首行缩进 21"/>
    <w:basedOn w:val="85"/>
    <w:next w:val="87"/>
    <w:qFormat/>
    <w:uiPriority w:val="0"/>
    <w:pPr>
      <w:ind w:firstLine="420"/>
    </w:pPr>
  </w:style>
  <w:style w:type="paragraph" w:customStyle="1" w:styleId="85">
    <w:name w:val="正文文本缩进1"/>
    <w:basedOn w:val="1"/>
    <w:next w:val="86"/>
    <w:unhideWhenUsed/>
    <w:qFormat/>
    <w:uiPriority w:val="99"/>
    <w:pPr>
      <w:spacing w:line="400" w:lineRule="exact"/>
      <w:ind w:firstLine="540"/>
    </w:pPr>
    <w:rPr>
      <w:sz w:val="24"/>
    </w:rPr>
  </w:style>
  <w:style w:type="paragraph" w:customStyle="1" w:styleId="86">
    <w:name w:val="寄信人地址1"/>
    <w:basedOn w:val="1"/>
    <w:qFormat/>
    <w:uiPriority w:val="0"/>
    <w:rPr>
      <w:rFonts w:ascii="Arial" w:hAnsi="Arial"/>
    </w:rPr>
  </w:style>
  <w:style w:type="paragraph" w:customStyle="1" w:styleId="87">
    <w:name w:val="正文首行缩进1"/>
    <w:basedOn w:val="88"/>
    <w:next w:val="1"/>
    <w:qFormat/>
    <w:uiPriority w:val="0"/>
    <w:pPr>
      <w:spacing w:before="100" w:after="100" w:line="360" w:lineRule="atLeast"/>
      <w:ind w:firstLine="425"/>
    </w:pPr>
    <w:rPr>
      <w:rFonts w:ascii="Times New Roman" w:hAnsi="Times New Roman" w:eastAsia="宋体"/>
    </w:rPr>
  </w:style>
  <w:style w:type="paragraph" w:customStyle="1" w:styleId="88">
    <w:name w:val="正文文本11"/>
    <w:basedOn w:val="1"/>
    <w:next w:val="1"/>
    <w:unhideWhenUsed/>
    <w:qFormat/>
    <w:uiPriority w:val="99"/>
    <w:rPr>
      <w:rFonts w:ascii="楷体_GB2312" w:hAnsi="Arial" w:eastAsia="楷体_GB2312"/>
      <w:sz w:val="28"/>
      <w:szCs w:val="28"/>
    </w:rPr>
  </w:style>
  <w:style w:type="character" w:customStyle="1" w:styleId="89">
    <w:name w:val="标题 1 字符"/>
    <w:link w:val="3"/>
    <w:qFormat/>
    <w:uiPriority w:val="9"/>
    <w:rPr>
      <w:rFonts w:ascii="Arial" w:hAnsi="Arial" w:eastAsia="宋体" w:cs="Arial"/>
      <w:b/>
      <w:sz w:val="44"/>
      <w:szCs w:val="40"/>
    </w:rPr>
  </w:style>
  <w:style w:type="character" w:customStyle="1" w:styleId="90">
    <w:name w:val="标题 2 字符"/>
    <w:link w:val="4"/>
    <w:qFormat/>
    <w:uiPriority w:val="9"/>
    <w:rPr>
      <w:rFonts w:ascii="Arial" w:hAnsi="Arial" w:eastAsia="Arial" w:cs="Arial"/>
      <w:sz w:val="34"/>
    </w:rPr>
  </w:style>
  <w:style w:type="character" w:customStyle="1" w:styleId="91">
    <w:name w:val="标题 3 字符"/>
    <w:link w:val="5"/>
    <w:qFormat/>
    <w:uiPriority w:val="9"/>
    <w:rPr>
      <w:rFonts w:ascii="Arial" w:hAnsi="Arial" w:eastAsia="Arial" w:cs="Arial"/>
      <w:sz w:val="30"/>
      <w:szCs w:val="30"/>
    </w:rPr>
  </w:style>
  <w:style w:type="character" w:customStyle="1" w:styleId="92">
    <w:name w:val="标题 4 字符"/>
    <w:link w:val="6"/>
    <w:qFormat/>
    <w:uiPriority w:val="9"/>
    <w:rPr>
      <w:rFonts w:ascii="Arial" w:hAnsi="Arial" w:eastAsia="Arial" w:cs="Arial"/>
      <w:b/>
      <w:bCs/>
      <w:sz w:val="26"/>
      <w:szCs w:val="26"/>
    </w:rPr>
  </w:style>
  <w:style w:type="character" w:customStyle="1" w:styleId="93">
    <w:name w:val="标题 5 字符"/>
    <w:link w:val="7"/>
    <w:qFormat/>
    <w:uiPriority w:val="9"/>
    <w:rPr>
      <w:rFonts w:ascii="Arial" w:hAnsi="Arial" w:eastAsia="Arial" w:cs="Arial"/>
      <w:b/>
      <w:bCs/>
      <w:sz w:val="24"/>
      <w:szCs w:val="24"/>
    </w:rPr>
  </w:style>
  <w:style w:type="character" w:customStyle="1" w:styleId="94">
    <w:name w:val="标题 6 字符"/>
    <w:link w:val="8"/>
    <w:qFormat/>
    <w:uiPriority w:val="9"/>
    <w:rPr>
      <w:rFonts w:ascii="Arial" w:hAnsi="Arial" w:eastAsia="Arial" w:cs="Arial"/>
      <w:b/>
      <w:bCs/>
      <w:sz w:val="22"/>
      <w:szCs w:val="22"/>
    </w:rPr>
  </w:style>
  <w:style w:type="character" w:customStyle="1" w:styleId="95">
    <w:name w:val="标题 7 字符"/>
    <w:link w:val="9"/>
    <w:qFormat/>
    <w:uiPriority w:val="9"/>
    <w:rPr>
      <w:rFonts w:ascii="Arial" w:hAnsi="Arial" w:eastAsia="Arial" w:cs="Arial"/>
      <w:b/>
      <w:bCs/>
      <w:i/>
      <w:iCs/>
      <w:sz w:val="22"/>
      <w:szCs w:val="22"/>
    </w:rPr>
  </w:style>
  <w:style w:type="character" w:customStyle="1" w:styleId="96">
    <w:name w:val="标题 8 字符"/>
    <w:link w:val="10"/>
    <w:qFormat/>
    <w:uiPriority w:val="9"/>
    <w:rPr>
      <w:rFonts w:ascii="Arial" w:hAnsi="Arial" w:eastAsia="Arial" w:cs="Arial"/>
      <w:i/>
      <w:iCs/>
      <w:sz w:val="22"/>
      <w:szCs w:val="22"/>
    </w:rPr>
  </w:style>
  <w:style w:type="character" w:customStyle="1" w:styleId="97">
    <w:name w:val="标题 9 字符"/>
    <w:link w:val="11"/>
    <w:qFormat/>
    <w:uiPriority w:val="9"/>
    <w:rPr>
      <w:rFonts w:ascii="Arial" w:hAnsi="Arial" w:eastAsia="Arial" w:cs="Arial"/>
      <w:i/>
      <w:iCs/>
      <w:sz w:val="21"/>
      <w:szCs w:val="21"/>
    </w:rPr>
  </w:style>
  <w:style w:type="paragraph" w:styleId="98">
    <w:name w:val="No Spacing"/>
    <w:qFormat/>
    <w:uiPriority w:val="1"/>
    <w:rPr>
      <w:rFonts w:hint="default" w:ascii="Times New Roman" w:hAnsi="Times New Roman" w:eastAsia="宋体" w:cs="Times New Roman"/>
      <w:lang w:val="en-US" w:eastAsia="zh-CN" w:bidi="ar-SA"/>
    </w:rPr>
  </w:style>
  <w:style w:type="character" w:customStyle="1" w:styleId="99">
    <w:name w:val="标题 字符"/>
    <w:link w:val="35"/>
    <w:qFormat/>
    <w:uiPriority w:val="10"/>
    <w:rPr>
      <w:sz w:val="48"/>
      <w:szCs w:val="48"/>
    </w:rPr>
  </w:style>
  <w:style w:type="character" w:customStyle="1" w:styleId="100">
    <w:name w:val="副标题 字符"/>
    <w:link w:val="29"/>
    <w:qFormat/>
    <w:uiPriority w:val="11"/>
    <w:rPr>
      <w:sz w:val="24"/>
      <w:szCs w:val="24"/>
    </w:rPr>
  </w:style>
  <w:style w:type="paragraph" w:styleId="101">
    <w:name w:val="Quote"/>
    <w:basedOn w:val="1"/>
    <w:next w:val="1"/>
    <w:link w:val="102"/>
    <w:qFormat/>
    <w:uiPriority w:val="29"/>
    <w:pPr>
      <w:ind w:left="720" w:right="720"/>
    </w:pPr>
    <w:rPr>
      <w:i/>
    </w:rPr>
  </w:style>
  <w:style w:type="character" w:customStyle="1" w:styleId="102">
    <w:name w:val="引用 字符"/>
    <w:link w:val="101"/>
    <w:qFormat/>
    <w:uiPriority w:val="29"/>
    <w:rPr>
      <w:i/>
    </w:rPr>
  </w:style>
  <w:style w:type="paragraph" w:styleId="103">
    <w:name w:val="Intense Quote"/>
    <w:basedOn w:val="1"/>
    <w:next w:val="1"/>
    <w:link w:val="10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4">
    <w:name w:val="明显引用 字符"/>
    <w:link w:val="103"/>
    <w:qFormat/>
    <w:uiPriority w:val="30"/>
    <w:rPr>
      <w:i/>
    </w:rPr>
  </w:style>
  <w:style w:type="character" w:customStyle="1" w:styleId="105">
    <w:name w:val="页眉 字符"/>
    <w:link w:val="26"/>
    <w:qFormat/>
    <w:uiPriority w:val="99"/>
  </w:style>
  <w:style w:type="character" w:customStyle="1" w:styleId="106">
    <w:name w:val="Footer Char"/>
    <w:qFormat/>
    <w:uiPriority w:val="99"/>
  </w:style>
  <w:style w:type="character" w:customStyle="1" w:styleId="107">
    <w:name w:val="页脚 字符"/>
    <w:link w:val="24"/>
    <w:qFormat/>
    <w:uiPriority w:val="99"/>
  </w:style>
  <w:style w:type="table" w:customStyle="1" w:styleId="10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09">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10">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11">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2">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3">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4">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1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1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2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21">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8">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3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5">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4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4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42">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43">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44">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45">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6">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7">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8">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49">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0">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1">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3">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5">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56">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8">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60">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62">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63">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64">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65">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6">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7">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8">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9">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70">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7">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8">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9">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80">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81">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82">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83">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84">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8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90">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91">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9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9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94">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9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8">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9">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1">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5">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0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1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1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12">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3">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4">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5">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6">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7">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8">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9">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0">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21">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22">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23">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24">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25">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6">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7">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3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3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32">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33">
    <w:name w:val="脚注文本 字符"/>
    <w:link w:val="30"/>
    <w:qFormat/>
    <w:uiPriority w:val="99"/>
    <w:rPr>
      <w:sz w:val="18"/>
    </w:rPr>
  </w:style>
  <w:style w:type="character" w:customStyle="1" w:styleId="234">
    <w:name w:val="尾注文本 字符"/>
    <w:link w:val="22"/>
    <w:qFormat/>
    <w:uiPriority w:val="99"/>
    <w:rPr>
      <w:sz w:val="20"/>
    </w:rPr>
  </w:style>
  <w:style w:type="paragraph" w:customStyle="1" w:styleId="235">
    <w:name w:val="TOC 标题1"/>
    <w:unhideWhenUsed/>
    <w:qFormat/>
    <w:uiPriority w:val="39"/>
    <w:rPr>
      <w:rFonts w:hint="default" w:ascii="Times New Roman" w:hAnsi="Times New Roman" w:eastAsia="宋体" w:cs="Times New Roman"/>
      <w:lang w:val="en-US" w:eastAsia="zh-CN" w:bidi="ar-SA"/>
    </w:rPr>
  </w:style>
  <w:style w:type="paragraph" w:customStyle="1" w:styleId="236">
    <w:name w:val="标题 11"/>
    <w:basedOn w:val="1"/>
    <w:next w:val="1"/>
    <w:link w:val="243"/>
    <w:qFormat/>
    <w:uiPriority w:val="9"/>
    <w:pPr>
      <w:keepNext/>
      <w:keepLines/>
      <w:spacing w:before="340" w:after="330" w:line="578" w:lineRule="auto"/>
      <w:outlineLvl w:val="0"/>
    </w:pPr>
    <w:rPr>
      <w:rFonts w:ascii="Calibri" w:hAnsi="Calibri"/>
      <w:b/>
      <w:bCs/>
      <w:sz w:val="44"/>
      <w:szCs w:val="44"/>
    </w:rPr>
  </w:style>
  <w:style w:type="paragraph" w:customStyle="1" w:styleId="237">
    <w:name w:val="标题 21"/>
    <w:basedOn w:val="1"/>
    <w:next w:val="238"/>
    <w:link w:val="244"/>
    <w:qFormat/>
    <w:uiPriority w:val="9"/>
    <w:pPr>
      <w:keepNext/>
      <w:keepLines/>
      <w:spacing w:before="260" w:after="260" w:line="416" w:lineRule="auto"/>
      <w:outlineLvl w:val="1"/>
    </w:pPr>
    <w:rPr>
      <w:rFonts w:ascii="Cambria" w:hAnsi="Cambria"/>
      <w:b/>
      <w:bCs/>
      <w:sz w:val="32"/>
      <w:szCs w:val="32"/>
    </w:rPr>
  </w:style>
  <w:style w:type="paragraph" w:customStyle="1" w:styleId="238">
    <w:name w:val="正文缩进1"/>
    <w:basedOn w:val="1"/>
    <w:unhideWhenUsed/>
    <w:qFormat/>
    <w:uiPriority w:val="0"/>
    <w:pPr>
      <w:ind w:firstLine="420"/>
    </w:pPr>
    <w:rPr>
      <w:rFonts w:ascii="Calibri" w:hAnsi="Calibri"/>
    </w:rPr>
  </w:style>
  <w:style w:type="paragraph" w:customStyle="1" w:styleId="239">
    <w:name w:val="标题 31"/>
    <w:basedOn w:val="1"/>
    <w:next w:val="1"/>
    <w:link w:val="245"/>
    <w:qFormat/>
    <w:uiPriority w:val="0"/>
    <w:pPr>
      <w:keepNext/>
      <w:keepLines/>
      <w:spacing w:before="260" w:after="260" w:line="416" w:lineRule="auto"/>
      <w:outlineLvl w:val="2"/>
    </w:pPr>
    <w:rPr>
      <w:rFonts w:ascii="Calibri" w:hAnsi="Calibri"/>
      <w:b/>
      <w:bCs/>
      <w:sz w:val="32"/>
      <w:szCs w:val="32"/>
    </w:rPr>
  </w:style>
  <w:style w:type="paragraph" w:customStyle="1" w:styleId="240">
    <w:name w:val="标题 41"/>
    <w:basedOn w:val="1"/>
    <w:next w:val="1"/>
    <w:link w:val="246"/>
    <w:qFormat/>
    <w:uiPriority w:val="0"/>
    <w:pPr>
      <w:spacing w:before="280" w:after="290" w:line="377" w:lineRule="auto"/>
      <w:outlineLvl w:val="3"/>
    </w:pPr>
    <w:rPr>
      <w:rFonts w:ascii="Arial" w:hAnsi="Arial" w:eastAsia="黑体"/>
      <w:b/>
      <w:bCs/>
      <w:sz w:val="28"/>
      <w:szCs w:val="28"/>
    </w:rPr>
  </w:style>
  <w:style w:type="character" w:customStyle="1" w:styleId="241">
    <w:name w:val="默认段落字体1"/>
    <w:unhideWhenUsed/>
    <w:qFormat/>
    <w:uiPriority w:val="1"/>
  </w:style>
  <w:style w:type="table" w:customStyle="1" w:styleId="242">
    <w:name w:val="普通表格1"/>
    <w:unhideWhenUsed/>
    <w:qFormat/>
    <w:uiPriority w:val="99"/>
    <w:tblPr>
      <w:tblCellMar>
        <w:top w:w="0" w:type="dxa"/>
        <w:left w:w="0" w:type="dxa"/>
        <w:bottom w:w="0" w:type="dxa"/>
        <w:right w:w="0" w:type="dxa"/>
      </w:tblCellMar>
    </w:tblPr>
  </w:style>
  <w:style w:type="character" w:customStyle="1" w:styleId="243">
    <w:name w:val="标题 1 Char"/>
    <w:link w:val="236"/>
    <w:qFormat/>
    <w:uiPriority w:val="9"/>
    <w:rPr>
      <w:rFonts w:ascii="Calibri" w:hAnsi="Calibri" w:eastAsia="宋体" w:cs="Times New Roman"/>
      <w:b/>
      <w:bCs/>
      <w:sz w:val="44"/>
      <w:szCs w:val="44"/>
    </w:rPr>
  </w:style>
  <w:style w:type="character" w:customStyle="1" w:styleId="244">
    <w:name w:val="标题 2 Char"/>
    <w:link w:val="237"/>
    <w:qFormat/>
    <w:uiPriority w:val="9"/>
    <w:rPr>
      <w:rFonts w:ascii="Cambria" w:hAnsi="Cambria" w:eastAsia="宋体" w:cs="Times New Roman"/>
      <w:b/>
      <w:bCs/>
      <w:sz w:val="32"/>
      <w:szCs w:val="32"/>
    </w:rPr>
  </w:style>
  <w:style w:type="character" w:customStyle="1" w:styleId="245">
    <w:name w:val="标题 3 Char"/>
    <w:link w:val="239"/>
    <w:qFormat/>
    <w:uiPriority w:val="0"/>
    <w:rPr>
      <w:rFonts w:ascii="Calibri" w:hAnsi="Calibri" w:eastAsia="宋体" w:cs="Times New Roman"/>
      <w:b/>
      <w:bCs/>
      <w:sz w:val="32"/>
      <w:szCs w:val="32"/>
    </w:rPr>
  </w:style>
  <w:style w:type="character" w:customStyle="1" w:styleId="246">
    <w:name w:val="标题 4 Char"/>
    <w:link w:val="240"/>
    <w:qFormat/>
    <w:uiPriority w:val="0"/>
    <w:rPr>
      <w:rFonts w:ascii="Arial" w:hAnsi="Arial" w:eastAsia="黑体" w:cs="Times New Roman"/>
      <w:b/>
      <w:bCs/>
      <w:sz w:val="28"/>
      <w:szCs w:val="28"/>
    </w:rPr>
  </w:style>
  <w:style w:type="paragraph" w:customStyle="1" w:styleId="247">
    <w:name w:val="文档结构图1"/>
    <w:basedOn w:val="1"/>
    <w:link w:val="248"/>
    <w:unhideWhenUsed/>
    <w:qFormat/>
    <w:uiPriority w:val="99"/>
    <w:rPr>
      <w:rFonts w:ascii="宋体"/>
      <w:sz w:val="18"/>
      <w:szCs w:val="18"/>
    </w:rPr>
  </w:style>
  <w:style w:type="character" w:customStyle="1" w:styleId="248">
    <w:name w:val="文档结构图 Char"/>
    <w:link w:val="247"/>
    <w:semiHidden/>
    <w:qFormat/>
    <w:uiPriority w:val="99"/>
    <w:rPr>
      <w:rFonts w:ascii="宋体"/>
      <w:sz w:val="18"/>
      <w:szCs w:val="18"/>
    </w:rPr>
  </w:style>
  <w:style w:type="paragraph" w:customStyle="1" w:styleId="249">
    <w:name w:val="批注文字1"/>
    <w:basedOn w:val="1"/>
    <w:unhideWhenUsed/>
    <w:qFormat/>
    <w:uiPriority w:val="99"/>
    <w:pPr>
      <w:jc w:val="left"/>
    </w:pPr>
  </w:style>
  <w:style w:type="paragraph" w:customStyle="1" w:styleId="250">
    <w:name w:val="纯文本1"/>
    <w:basedOn w:val="1"/>
    <w:link w:val="251"/>
    <w:unhideWhenUsed/>
    <w:qFormat/>
    <w:uiPriority w:val="99"/>
    <w:rPr>
      <w:rFonts w:ascii="宋体" w:hAnsi="Courier New"/>
      <w:sz w:val="20"/>
      <w:szCs w:val="20"/>
    </w:rPr>
  </w:style>
  <w:style w:type="character" w:customStyle="1" w:styleId="251">
    <w:name w:val="纯文本 Char"/>
    <w:link w:val="250"/>
    <w:qFormat/>
    <w:uiPriority w:val="99"/>
    <w:rPr>
      <w:rFonts w:ascii="宋体" w:hAnsi="Courier New"/>
    </w:rPr>
  </w:style>
  <w:style w:type="paragraph" w:customStyle="1" w:styleId="252">
    <w:name w:val="日期1"/>
    <w:basedOn w:val="1"/>
    <w:next w:val="1"/>
    <w:link w:val="253"/>
    <w:qFormat/>
    <w:uiPriority w:val="0"/>
    <w:rPr>
      <w:sz w:val="24"/>
      <w:szCs w:val="20"/>
    </w:rPr>
  </w:style>
  <w:style w:type="character" w:customStyle="1" w:styleId="253">
    <w:name w:val="日期 Char"/>
    <w:link w:val="252"/>
    <w:qFormat/>
    <w:uiPriority w:val="0"/>
    <w:rPr>
      <w:rFonts w:ascii="Times New Roman" w:hAnsi="Times New Roman"/>
      <w:sz w:val="24"/>
    </w:rPr>
  </w:style>
  <w:style w:type="paragraph" w:customStyle="1" w:styleId="254">
    <w:name w:val="正文文本缩进 21"/>
    <w:basedOn w:val="1"/>
    <w:unhideWhenUsed/>
    <w:qFormat/>
    <w:uiPriority w:val="99"/>
    <w:pPr>
      <w:spacing w:line="520" w:lineRule="exact"/>
      <w:ind w:firstLine="510"/>
    </w:pPr>
    <w:rPr>
      <w:rFonts w:ascii="华文仿宋" w:eastAsia="华文仿宋"/>
      <w:sz w:val="28"/>
      <w:szCs w:val="20"/>
    </w:rPr>
  </w:style>
  <w:style w:type="paragraph" w:customStyle="1" w:styleId="255">
    <w:name w:val="批注框文本1"/>
    <w:basedOn w:val="1"/>
    <w:link w:val="256"/>
    <w:unhideWhenUsed/>
    <w:qFormat/>
    <w:uiPriority w:val="99"/>
    <w:rPr>
      <w:sz w:val="18"/>
      <w:szCs w:val="18"/>
    </w:rPr>
  </w:style>
  <w:style w:type="character" w:customStyle="1" w:styleId="256">
    <w:name w:val="批注框文本 Char"/>
    <w:link w:val="255"/>
    <w:semiHidden/>
    <w:qFormat/>
    <w:uiPriority w:val="99"/>
    <w:rPr>
      <w:sz w:val="18"/>
      <w:szCs w:val="18"/>
    </w:rPr>
  </w:style>
  <w:style w:type="paragraph" w:customStyle="1" w:styleId="257">
    <w:name w:val="页脚1"/>
    <w:basedOn w:val="1"/>
    <w:link w:val="258"/>
    <w:unhideWhenUsed/>
    <w:qFormat/>
    <w:uiPriority w:val="99"/>
    <w:pPr>
      <w:tabs>
        <w:tab w:val="center" w:pos="4153"/>
        <w:tab w:val="right" w:pos="8306"/>
      </w:tabs>
      <w:jc w:val="left"/>
    </w:pPr>
    <w:rPr>
      <w:sz w:val="18"/>
      <w:szCs w:val="18"/>
    </w:rPr>
  </w:style>
  <w:style w:type="character" w:customStyle="1" w:styleId="258">
    <w:name w:val="页脚 Char"/>
    <w:link w:val="257"/>
    <w:qFormat/>
    <w:uiPriority w:val="99"/>
    <w:rPr>
      <w:sz w:val="18"/>
      <w:szCs w:val="18"/>
    </w:rPr>
  </w:style>
  <w:style w:type="paragraph" w:customStyle="1" w:styleId="259">
    <w:name w:val="页眉1"/>
    <w:basedOn w:val="1"/>
    <w:link w:val="260"/>
    <w:unhideWhenUsed/>
    <w:qFormat/>
    <w:uiPriority w:val="99"/>
    <w:pPr>
      <w:pBdr>
        <w:bottom w:val="single" w:color="000000" w:sz="6" w:space="1"/>
      </w:pBdr>
      <w:tabs>
        <w:tab w:val="center" w:pos="4153"/>
        <w:tab w:val="right" w:pos="8306"/>
      </w:tabs>
      <w:jc w:val="center"/>
    </w:pPr>
    <w:rPr>
      <w:sz w:val="18"/>
      <w:szCs w:val="18"/>
    </w:rPr>
  </w:style>
  <w:style w:type="character" w:customStyle="1" w:styleId="260">
    <w:name w:val="页眉 Char"/>
    <w:link w:val="259"/>
    <w:qFormat/>
    <w:uiPriority w:val="99"/>
    <w:rPr>
      <w:sz w:val="18"/>
      <w:szCs w:val="18"/>
    </w:rPr>
  </w:style>
  <w:style w:type="paragraph" w:customStyle="1" w:styleId="261">
    <w:name w:val="目录 11"/>
    <w:basedOn w:val="1"/>
    <w:next w:val="1"/>
    <w:unhideWhenUsed/>
    <w:qFormat/>
    <w:uiPriority w:val="39"/>
    <w:rPr>
      <w:rFonts w:ascii="Calibri" w:hAnsi="Calibri"/>
    </w:rPr>
  </w:style>
  <w:style w:type="paragraph" w:customStyle="1" w:styleId="262">
    <w:name w:val="目录 21"/>
    <w:basedOn w:val="1"/>
    <w:next w:val="1"/>
    <w:unhideWhenUsed/>
    <w:qFormat/>
    <w:uiPriority w:val="39"/>
    <w:pPr>
      <w:ind w:left="420"/>
    </w:pPr>
  </w:style>
  <w:style w:type="paragraph" w:customStyle="1" w:styleId="263">
    <w:name w:val="目录 91"/>
    <w:basedOn w:val="1"/>
    <w:next w:val="1"/>
    <w:semiHidden/>
    <w:qFormat/>
    <w:uiPriority w:val="0"/>
    <w:pPr>
      <w:ind w:left="3360"/>
    </w:pPr>
  </w:style>
  <w:style w:type="paragraph" w:customStyle="1" w:styleId="264">
    <w:name w:val="正文文本 211"/>
    <w:basedOn w:val="1"/>
    <w:qFormat/>
    <w:uiPriority w:val="0"/>
    <w:pPr>
      <w:spacing w:after="120" w:line="480" w:lineRule="auto"/>
    </w:pPr>
  </w:style>
  <w:style w:type="paragraph" w:customStyle="1" w:styleId="265">
    <w:name w:val="普通(网站)1"/>
    <w:basedOn w:val="1"/>
    <w:unhideWhenUsed/>
    <w:qFormat/>
    <w:uiPriority w:val="0"/>
    <w:pPr>
      <w:jc w:val="left"/>
    </w:pPr>
    <w:rPr>
      <w:rFonts w:ascii="Calibri" w:hAnsi="Calibri"/>
      <w:sz w:val="24"/>
      <w:szCs w:val="24"/>
    </w:rPr>
  </w:style>
  <w:style w:type="character" w:customStyle="1" w:styleId="266">
    <w:name w:val="要点1"/>
    <w:qFormat/>
    <w:uiPriority w:val="0"/>
    <w:rPr>
      <w:b/>
    </w:rPr>
  </w:style>
  <w:style w:type="paragraph" w:customStyle="1" w:styleId="267">
    <w:name w:val="标题 412"/>
    <w:basedOn w:val="1"/>
    <w:next w:val="1"/>
    <w:unhideWhenUsed/>
    <w:qFormat/>
    <w:uiPriority w:val="9"/>
    <w:pPr>
      <w:keepNext/>
      <w:keepLines/>
      <w:spacing w:before="320" w:after="200"/>
      <w:outlineLvl w:val="3"/>
    </w:pPr>
    <w:rPr>
      <w:rFonts w:ascii="Arial" w:hAnsi="Arial" w:eastAsia="Arial"/>
      <w:b/>
      <w:bCs/>
      <w:sz w:val="26"/>
      <w:szCs w:val="26"/>
    </w:rPr>
  </w:style>
  <w:style w:type="paragraph" w:customStyle="1" w:styleId="268">
    <w:name w:val="正文1"/>
    <w:basedOn w:val="1"/>
    <w:next w:val="269"/>
    <w:qFormat/>
    <w:uiPriority w:val="0"/>
    <w:pPr>
      <w:spacing w:line="360" w:lineRule="atLeast"/>
      <w:jc w:val="left"/>
    </w:pPr>
    <w:rPr>
      <w:rFonts w:ascii="宋体" w:hAnsi="Calibri"/>
      <w:sz w:val="24"/>
      <w:szCs w:val="20"/>
    </w:rPr>
  </w:style>
  <w:style w:type="paragraph" w:customStyle="1" w:styleId="269">
    <w:name w:val="正文文本1"/>
    <w:basedOn w:val="268"/>
    <w:next w:val="270"/>
    <w:qFormat/>
    <w:uiPriority w:val="0"/>
    <w:pPr>
      <w:spacing w:after="120"/>
    </w:pPr>
    <w:rPr>
      <w:lang w:eastAsia="en-US"/>
    </w:rPr>
  </w:style>
  <w:style w:type="paragraph" w:customStyle="1" w:styleId="270">
    <w:name w:val="一级条标题"/>
    <w:basedOn w:val="271"/>
    <w:next w:val="27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71">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72">
    <w:name w:val="段"/>
    <w:basedOn w:val="268"/>
    <w:next w:val="1"/>
    <w:qFormat/>
    <w:uiPriority w:val="0"/>
    <w:pPr>
      <w:widowControl/>
      <w:ind w:firstLine="200"/>
    </w:pPr>
    <w:rPr>
      <w:sz w:val="20"/>
    </w:rPr>
  </w:style>
  <w:style w:type="character" w:customStyle="1" w:styleId="273">
    <w:name w:val="页脚 Char1"/>
    <w:semiHidden/>
    <w:qFormat/>
    <w:uiPriority w:val="99"/>
    <w:rPr>
      <w:sz w:val="18"/>
      <w:szCs w:val="18"/>
    </w:rPr>
  </w:style>
  <w:style w:type="character" w:customStyle="1" w:styleId="274">
    <w:name w:val="日期 Char1"/>
    <w:semiHidden/>
    <w:qFormat/>
    <w:uiPriority w:val="99"/>
  </w:style>
  <w:style w:type="character" w:customStyle="1" w:styleId="275">
    <w:name w:val="纯文本 Char1"/>
    <w:semiHidden/>
    <w:qFormat/>
    <w:uiPriority w:val="99"/>
    <w:rPr>
      <w:rFonts w:ascii="宋体" w:hAnsi="Courier New" w:eastAsia="宋体" w:cs="Courier New"/>
      <w:szCs w:val="21"/>
    </w:rPr>
  </w:style>
  <w:style w:type="character" w:customStyle="1" w:styleId="276">
    <w:name w:val="页眉 Char1"/>
    <w:semiHidden/>
    <w:qFormat/>
    <w:uiPriority w:val="99"/>
    <w:rPr>
      <w:sz w:val="18"/>
      <w:szCs w:val="18"/>
    </w:rPr>
  </w:style>
  <w:style w:type="paragraph" w:customStyle="1" w:styleId="277">
    <w:name w:val="普通正文"/>
    <w:basedOn w:val="1"/>
    <w:qFormat/>
    <w:uiPriority w:val="0"/>
    <w:pPr>
      <w:spacing w:before="120" w:after="120" w:line="360" w:lineRule="auto"/>
      <w:ind w:firstLine="480"/>
      <w:jc w:val="left"/>
    </w:pPr>
    <w:rPr>
      <w:rFonts w:ascii="Arial" w:hAnsi="Arial"/>
      <w:sz w:val="24"/>
      <w:szCs w:val="24"/>
    </w:rPr>
  </w:style>
  <w:style w:type="paragraph" w:customStyle="1" w:styleId="278">
    <w:name w:val="Char"/>
    <w:basedOn w:val="1"/>
    <w:qFormat/>
    <w:uiPriority w:val="0"/>
    <w:pPr>
      <w:tabs>
        <w:tab w:val="left" w:pos="360"/>
      </w:tabs>
      <w:ind w:firstLine="200"/>
    </w:pPr>
    <w:rPr>
      <w:sz w:val="28"/>
      <w:szCs w:val="30"/>
    </w:rPr>
  </w:style>
  <w:style w:type="paragraph" w:customStyle="1" w:styleId="279">
    <w:name w:val="无间隔1"/>
    <w:qFormat/>
    <w:uiPriority w:val="99"/>
    <w:pPr>
      <w:widowControl w:val="0"/>
      <w:jc w:val="both"/>
    </w:pPr>
    <w:rPr>
      <w:rFonts w:hint="default" w:ascii="Times New Roman" w:hAnsi="Times New Roman" w:eastAsia="宋体" w:cs="Times New Roman"/>
      <w:sz w:val="21"/>
      <w:szCs w:val="21"/>
      <w:lang w:val="en-US" w:eastAsia="zh-CN" w:bidi="ar-SA"/>
    </w:rPr>
  </w:style>
  <w:style w:type="character" w:customStyle="1" w:styleId="280">
    <w:name w:val="font11"/>
    <w:basedOn w:val="241"/>
    <w:qFormat/>
    <w:uiPriority w:val="0"/>
    <w:rPr>
      <w:rFonts w:hint="eastAsia" w:ascii="宋体" w:hAnsi="宋体" w:eastAsia="宋体" w:cs="宋体"/>
      <w:color w:val="000000"/>
      <w:sz w:val="20"/>
      <w:szCs w:val="20"/>
      <w:u w:val="none"/>
    </w:rPr>
  </w:style>
  <w:style w:type="paragraph" w:customStyle="1" w:styleId="281">
    <w:name w:val="Char Char Char Char Char Char Char Char Char"/>
    <w:basedOn w:val="1"/>
    <w:next w:val="282"/>
    <w:qFormat/>
    <w:uiPriority w:val="99"/>
    <w:pPr>
      <w:ind w:left="360" w:firstLine="5784"/>
    </w:pPr>
  </w:style>
  <w:style w:type="paragraph" w:customStyle="1" w:styleId="282">
    <w:name w:val="正文文本 21"/>
    <w:basedOn w:val="1"/>
    <w:next w:val="283"/>
    <w:qFormat/>
    <w:uiPriority w:val="99"/>
    <w:pPr>
      <w:widowControl/>
      <w:ind w:left="720" w:firstLine="5680"/>
    </w:pPr>
  </w:style>
  <w:style w:type="paragraph" w:customStyle="1" w:styleId="283">
    <w:name w:val="默认段落字体 Para Char Char Char Char Char Char Char"/>
    <w:basedOn w:val="1"/>
    <w:next w:val="284"/>
    <w:qFormat/>
    <w:uiPriority w:val="99"/>
    <w:pPr>
      <w:ind w:firstLine="200"/>
    </w:pPr>
    <w:rPr>
      <w:rFonts w:cs="Arial"/>
    </w:rPr>
  </w:style>
  <w:style w:type="paragraph" w:customStyle="1" w:styleId="284">
    <w:name w:val="样式 首行缩进:  2 字符"/>
    <w:basedOn w:val="1"/>
    <w:qFormat/>
    <w:uiPriority w:val="99"/>
    <w:pPr>
      <w:spacing w:line="360" w:lineRule="auto"/>
      <w:ind w:left="480" w:firstLine="5856"/>
    </w:pPr>
  </w:style>
  <w:style w:type="paragraph" w:customStyle="1" w:styleId="285">
    <w:name w:val="样式 段后: 0.25 行"/>
    <w:basedOn w:val="1"/>
    <w:next w:val="286"/>
    <w:qFormat/>
    <w:uiPriority w:val="99"/>
    <w:pPr>
      <w:widowControl/>
      <w:spacing w:line="300" w:lineRule="auto"/>
      <w:ind w:left="420" w:firstLine="5796"/>
    </w:pPr>
  </w:style>
  <w:style w:type="paragraph" w:customStyle="1" w:styleId="286">
    <w:name w:val="正文 New New New New New New New New New New New New New New"/>
    <w:next w:val="263"/>
    <w:qFormat/>
    <w:uiPriority w:val="99"/>
    <w:pPr>
      <w:widowControl w:val="0"/>
      <w:ind w:firstLine="2048"/>
      <w:jc w:val="both"/>
    </w:pPr>
    <w:rPr>
      <w:rFonts w:hint="default" w:ascii="Calibri" w:hAnsi="Calibri" w:eastAsia="宋体" w:cs="Times New Roman"/>
      <w:lang w:val="en-US" w:eastAsia="zh-CN" w:bidi="ar-SA"/>
    </w:rPr>
  </w:style>
  <w:style w:type="paragraph" w:customStyle="1" w:styleId="287">
    <w:name w:val="正文空2格  1."/>
    <w:basedOn w:val="1"/>
    <w:qFormat/>
    <w:uiPriority w:val="0"/>
    <w:pPr>
      <w:ind w:firstLine="480"/>
    </w:pPr>
    <w:rPr>
      <w:rFonts w:cs="宋体"/>
      <w:sz w:val="28"/>
      <w:szCs w:val="20"/>
    </w:rPr>
  </w:style>
  <w:style w:type="paragraph" w:customStyle="1" w:styleId="288">
    <w:name w:val="正文_0_0"/>
    <w:qFormat/>
    <w:uiPriority w:val="0"/>
    <w:pPr>
      <w:widowControl w:val="0"/>
      <w:jc w:val="both"/>
    </w:pPr>
    <w:rPr>
      <w:rFonts w:hint="default" w:ascii="Calibri" w:hAnsi="Calibri" w:eastAsia="宋体" w:cs="Times New Roman"/>
      <w:sz w:val="21"/>
      <w:szCs w:val="22"/>
      <w:lang w:val="en-US" w:eastAsia="zh-CN" w:bidi="ar-SA"/>
    </w:rPr>
  </w:style>
  <w:style w:type="paragraph" w:styleId="289">
    <w:name w:val="List Paragraph"/>
    <w:basedOn w:val="1"/>
    <w:qFormat/>
    <w:uiPriority w:val="34"/>
    <w:pPr>
      <w:ind w:firstLine="420"/>
    </w:pPr>
  </w:style>
  <w:style w:type="paragraph" w:customStyle="1" w:styleId="290">
    <w:name w:val="style4"/>
    <w:basedOn w:val="1"/>
    <w:next w:val="291"/>
    <w:qFormat/>
    <w:uiPriority w:val="0"/>
    <w:pPr>
      <w:widowControl/>
      <w:spacing w:before="100" w:beforeAutospacing="1" w:after="100" w:afterAutospacing="1"/>
      <w:jc w:val="left"/>
    </w:pPr>
    <w:rPr>
      <w:rFonts w:ascii="宋体" w:hAnsi="宋体" w:cs="宋体"/>
      <w:sz w:val="18"/>
      <w:szCs w:val="18"/>
    </w:rPr>
  </w:style>
  <w:style w:type="paragraph" w:customStyle="1" w:styleId="291">
    <w:name w:val="2"/>
    <w:next w:val="1"/>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292">
    <w:name w:val="htd0"/>
    <w:qFormat/>
    <w:uiPriority w:val="0"/>
  </w:style>
  <w:style w:type="paragraph" w:customStyle="1" w:styleId="293">
    <w:name w:val="正文12"/>
    <w:qFormat/>
    <w:uiPriority w:val="99"/>
    <w:pPr>
      <w:widowControl w:val="0"/>
      <w:jc w:val="both"/>
    </w:pPr>
    <w:rPr>
      <w:rFonts w:hint="default" w:ascii="Times New Roman" w:hAnsi="Times New Roman" w:eastAsia="Times New Roman" w:cs="Times New Roman"/>
      <w:lang w:val="en-US" w:eastAsia="zh-CN" w:bidi="ar-SA"/>
    </w:rPr>
  </w:style>
  <w:style w:type="paragraph" w:customStyle="1" w:styleId="294">
    <w:name w:val="列出段落1"/>
    <w:basedOn w:val="1"/>
    <w:qFormat/>
    <w:uiPriority w:val="0"/>
    <w:pPr>
      <w:spacing w:line="360" w:lineRule="auto"/>
      <w:ind w:firstLine="420"/>
    </w:pPr>
    <w:rPr>
      <w:rFonts w:ascii="Calibri" w:hAnsi="Calibri"/>
      <w:sz w:val="24"/>
    </w:rPr>
  </w:style>
  <w:style w:type="paragraph" w:customStyle="1" w:styleId="295">
    <w:name w:val="Char Char Char Char"/>
    <w:basedOn w:val="1"/>
    <w:qFormat/>
    <w:uiPriority w:val="0"/>
    <w:pPr>
      <w:spacing w:line="360" w:lineRule="auto"/>
    </w:pPr>
    <w:rPr>
      <w:sz w:val="24"/>
      <w:szCs w:val="24"/>
    </w:rPr>
  </w:style>
  <w:style w:type="table" w:customStyle="1" w:styleId="296">
    <w:name w:val="网格型3"/>
    <w:basedOn w:val="242"/>
    <w:qFormat/>
    <w:uiPriority w:val="39"/>
  </w:style>
  <w:style w:type="paragraph" w:customStyle="1" w:styleId="297">
    <w:name w:val="正文文本缩进 31"/>
    <w:basedOn w:val="1"/>
    <w:qFormat/>
    <w:uiPriority w:val="0"/>
    <w:pPr>
      <w:spacing w:before="120" w:after="120" w:line="360" w:lineRule="auto"/>
      <w:ind w:left="420" w:firstLine="540"/>
    </w:pPr>
    <w:rPr>
      <w:rFonts w:ascii="Arial" w:hAnsi="Arial"/>
      <w:sz w:val="24"/>
      <w:szCs w:val="20"/>
    </w:rPr>
  </w:style>
  <w:style w:type="paragraph" w:customStyle="1" w:styleId="298">
    <w:name w:val="列出段落3"/>
    <w:basedOn w:val="1"/>
    <w:qFormat/>
    <w:uiPriority w:val="0"/>
    <w:pPr>
      <w:ind w:firstLine="420"/>
    </w:pPr>
    <w:rPr>
      <w:rFonts w:ascii="Calibri" w:hAnsi="Calibri"/>
    </w:rPr>
  </w:style>
  <w:style w:type="character" w:customStyle="1" w:styleId="299">
    <w:name w:val="批注框文本 字符"/>
    <w:basedOn w:val="39"/>
    <w:link w:val="23"/>
    <w:semiHidden/>
    <w:qFormat/>
    <w:uiPriority w:val="99"/>
    <w:rPr>
      <w:sz w:val="18"/>
      <w:szCs w:val="18"/>
    </w:rPr>
  </w:style>
  <w:style w:type="paragraph" w:customStyle="1" w:styleId="300">
    <w:name w:val="Table Text"/>
    <w:basedOn w:val="1"/>
    <w:semiHidden/>
    <w:qFormat/>
    <w:uiPriority w:val="0"/>
    <w:pPr>
      <w:widowControl/>
      <w:spacing w:line="360" w:lineRule="auto"/>
    </w:pPr>
    <w:rPr>
      <w:rFonts w:ascii="宋体" w:hAnsi="宋体" w:cs="宋体"/>
      <w:color w:val="000000"/>
      <w:szCs w:val="21"/>
    </w:rPr>
  </w:style>
  <w:style w:type="character" w:customStyle="1" w:styleId="301">
    <w:name w:val="批注文字 字符"/>
    <w:basedOn w:val="39"/>
    <w:link w:val="15"/>
    <w:semiHidden/>
    <w:qFormat/>
    <w:uiPriority w:val="99"/>
    <w:rPr>
      <w:sz w:val="21"/>
      <w:szCs w:val="22"/>
    </w:rPr>
  </w:style>
  <w:style w:type="character" w:customStyle="1" w:styleId="302">
    <w:name w:val="批注主题 字符"/>
    <w:basedOn w:val="301"/>
    <w:link w:val="36"/>
    <w:semiHidden/>
    <w:qFormat/>
    <w:uiPriority w:val="99"/>
    <w:rPr>
      <w:b/>
      <w:bCs/>
      <w:sz w:val="21"/>
      <w:szCs w:val="22"/>
    </w:rPr>
  </w:style>
  <w:style w:type="table" w:customStyle="1" w:styleId="303">
    <w:name w:val="网格型1"/>
    <w:basedOn w:val="37"/>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04">
    <w:name w:val="列出段落"/>
    <w:basedOn w:val="1"/>
    <w:qFormat/>
    <w:uiPriority w:val="34"/>
    <w:pPr>
      <w:ind w:firstLine="420"/>
    </w:pPr>
    <w:rPr>
      <w:rFonts w:ascii="Calibri" w:hAnsi="Calibri"/>
      <w:szCs w:val="22"/>
    </w:rPr>
  </w:style>
  <w:style w:type="paragraph" w:customStyle="1" w:styleId="305">
    <w:name w:val="引文目录标题1"/>
    <w:basedOn w:val="1"/>
    <w:next w:val="1"/>
    <w:unhideWhenUsed/>
    <w:qFormat/>
    <w:uiPriority w:val="99"/>
    <w:pPr>
      <w:spacing w:before="120"/>
    </w:pPr>
    <w:rPr>
      <w:rFonts w:ascii="Cambria" w:hAnsi="Cambria" w:cs="Times New Roman"/>
      <w:sz w:val="24"/>
    </w:rPr>
  </w:style>
  <w:style w:type="paragraph" w:customStyle="1" w:styleId="306">
    <w:name w:val="Normal_9_0"/>
    <w:qFormat/>
    <w:uiPriority w:val="0"/>
    <w:rPr>
      <w:rFonts w:hint="default" w:ascii="Times New Roman" w:hAnsi="Times New Roman" w:eastAsia="Times New Roman" w:cs="Times New Roman"/>
      <w:sz w:val="24"/>
      <w:szCs w:val="24"/>
      <w:lang w:val="en-US" w:eastAsia="zh-CN" w:bidi="ar-SA"/>
    </w:rPr>
  </w:style>
  <w:style w:type="character" w:customStyle="1" w:styleId="307">
    <w:name w:val="font141"/>
    <w:basedOn w:val="39"/>
    <w:qFormat/>
    <w:uiPriority w:val="0"/>
    <w:rPr>
      <w:rFonts w:hint="default" w:ascii="方正黑体_GBK" w:hAnsi="方正黑体_GBK" w:eastAsia="方正黑体_GBK" w:cs="方正黑体_GBK"/>
      <w:b/>
      <w:bCs/>
      <w:color w:val="000000"/>
      <w:sz w:val="20"/>
      <w:szCs w:val="20"/>
      <w:u w:val="none"/>
    </w:rPr>
  </w:style>
  <w:style w:type="paragraph" w:customStyle="1" w:styleId="308">
    <w:name w:val="正文_7_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09">
    <w:name w:val="Normal_0_2"/>
    <w:qFormat/>
    <w:uiPriority w:val="0"/>
    <w:rPr>
      <w:rFonts w:hint="default" w:ascii="黑体" w:hAnsi="黑体" w:eastAsia="黑体" w:cs="Times New Roman"/>
      <w:b/>
      <w:sz w:val="32"/>
      <w:szCs w:val="24"/>
      <w:lang w:val="en-US" w:eastAsia="zh-CN" w:bidi="ar-SA"/>
    </w:rPr>
  </w:style>
  <w:style w:type="paragraph" w:customStyle="1" w:styleId="310">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19599</Words>
  <Characters>21111</Characters>
  <TotalTime>0</TotalTime>
  <ScaleCrop>false</ScaleCrop>
  <LinksUpToDate>false</LinksUpToDate>
  <CharactersWithSpaces>21595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2024-09-05T11:22:00Z</dcterms:created>
  <dc:creator>Lorra</dc:creator>
  <cp:lastModifiedBy>方头大狮子</cp:lastModifiedBy>
  <dcterms:modified xsi:type="dcterms:W3CDTF">2025-02-17T08:21:40Z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DB9BD060D8FD40C39F4ECF60A2FA83F1_13</vt:lpwstr>
  </property>
  <property fmtid="{D5CDD505-2E9C-101B-9397-08002B2CF9AE}" pid="4" name="KSOTemplateDocerSaveRecord">
    <vt:lpwstr>eyJoZGlkIjoiZWU0MTFmYzZmZDM2ZGViNDAyYTRhODI2YzUyYjg2ZjMiLCJ1c2VySWQiOiIyMzk1MjI1ODEifQ==</vt:lpwstr>
  </property>
</Properties>
</file>