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bCs/>
          <w:sz w:val="44"/>
        </w:rPr>
      </w:pPr>
      <w:bookmarkStart w:id="0" w:name="_Toc416161797"/>
      <w:bookmarkStart w:id="1" w:name="_Hlk105412637"/>
      <w:r>
        <w:rPr>
          <w:rFonts w:hint="eastAsia" w:ascii="黑体" w:eastAsia="黑体"/>
          <w:bCs/>
          <w:sz w:val="44"/>
        </w:rPr>
        <w:t>项目需求</w:t>
      </w:r>
      <w:bookmarkEnd w:id="0"/>
    </w:p>
    <w:bookmarkEnd w:id="1"/>
    <w:tbl>
      <w:tblPr>
        <w:tblStyle w:val="5"/>
        <w:tblW w:w="9230" w:type="dxa"/>
        <w:tblInd w:w="-176" w:type="dxa"/>
        <w:tblLayout w:type="autofit"/>
        <w:tblCellMar>
          <w:top w:w="0" w:type="dxa"/>
          <w:left w:w="108" w:type="dxa"/>
          <w:bottom w:w="0" w:type="dxa"/>
          <w:right w:w="108" w:type="dxa"/>
        </w:tblCellMar>
      </w:tblPr>
      <w:tblGrid>
        <w:gridCol w:w="972"/>
        <w:gridCol w:w="8258"/>
      </w:tblGrid>
      <w:tr>
        <w:tblPrEx>
          <w:tblCellMar>
            <w:top w:w="0" w:type="dxa"/>
            <w:left w:w="108" w:type="dxa"/>
            <w:bottom w:w="0" w:type="dxa"/>
            <w:right w:w="108" w:type="dxa"/>
          </w:tblCellMar>
        </w:tblPrEx>
        <w:trPr>
          <w:trHeight w:val="544" w:hRule="atLeast"/>
        </w:trPr>
        <w:tc>
          <w:tcPr>
            <w:tcW w:w="972" w:type="dxa"/>
            <w:tcBorders>
              <w:top w:val="single" w:color="auto" w:sz="8" w:space="0"/>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序号</w:t>
            </w:r>
          </w:p>
        </w:tc>
        <w:tc>
          <w:tcPr>
            <w:tcW w:w="8258" w:type="dxa"/>
            <w:tcBorders>
              <w:top w:val="single" w:color="auto" w:sz="8" w:space="0"/>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技术参数</w:t>
            </w:r>
          </w:p>
        </w:tc>
      </w:tr>
      <w:tr>
        <w:tblPrEx>
          <w:tblCellMar>
            <w:top w:w="0" w:type="dxa"/>
            <w:left w:w="108" w:type="dxa"/>
            <w:bottom w:w="0" w:type="dxa"/>
            <w:right w:w="108" w:type="dxa"/>
          </w:tblCellMar>
        </w:tblPrEx>
        <w:trPr>
          <w:trHeight w:val="620"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一、</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白金保服务</w:t>
            </w:r>
          </w:p>
        </w:tc>
      </w:tr>
      <w:tr>
        <w:tblPrEx>
          <w:tblCellMar>
            <w:top w:w="0" w:type="dxa"/>
            <w:left w:w="108" w:type="dxa"/>
            <w:bottom w:w="0" w:type="dxa"/>
            <w:right w:w="108" w:type="dxa"/>
          </w:tblCellMar>
        </w:tblPrEx>
        <w:trPr>
          <w:trHeight w:val="482"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二、</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服务期：一年（该合同一年期满后，医院对服务验收合格后则本服务合同期限自动顺延一年，以此类推，最多自动顺延2次。在自动顺延期间，双方仍按本服务合同的条款履行和接受服务）；</w:t>
            </w:r>
          </w:p>
        </w:tc>
      </w:tr>
      <w:tr>
        <w:tblPrEx>
          <w:tblCellMar>
            <w:top w:w="0" w:type="dxa"/>
            <w:left w:w="108" w:type="dxa"/>
            <w:bottom w:w="0" w:type="dxa"/>
            <w:right w:w="108" w:type="dxa"/>
          </w:tblCellMar>
        </w:tblPrEx>
        <w:trPr>
          <w:trHeight w:val="652"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三、</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保证合同期内开机率达到95%；</w:t>
            </w:r>
          </w:p>
        </w:tc>
      </w:tr>
      <w:tr>
        <w:tblPrEx>
          <w:tblCellMar>
            <w:top w:w="0" w:type="dxa"/>
            <w:left w:w="108" w:type="dxa"/>
            <w:bottom w:w="0" w:type="dxa"/>
            <w:right w:w="108" w:type="dxa"/>
          </w:tblCellMar>
        </w:tblPrEx>
        <w:trPr>
          <w:trHeight w:val="978"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四、</w:t>
            </w:r>
          </w:p>
        </w:tc>
        <w:tc>
          <w:tcPr>
            <w:tcW w:w="8258" w:type="dxa"/>
            <w:tcBorders>
              <w:top w:val="nil"/>
              <w:left w:val="nil"/>
              <w:bottom w:val="single" w:color="auto" w:sz="8" w:space="0"/>
              <w:right w:val="single" w:color="auto" w:sz="8" w:space="0"/>
            </w:tcBorders>
            <w:vAlign w:val="center"/>
          </w:tcPr>
          <w:p>
            <w:pPr>
              <w:numPr>
                <w:ilvl w:val="0"/>
                <w:numId w:val="1"/>
              </w:numPr>
              <w:rPr>
                <w:rFonts w:ascii="宋体" w:hAnsi="宋体"/>
                <w:color w:val="auto"/>
                <w:sz w:val="24"/>
                <w:szCs w:val="24"/>
                <w:highlight w:val="none"/>
              </w:rPr>
            </w:pPr>
            <w:r>
              <w:rPr>
                <w:rFonts w:hint="eastAsia" w:ascii="宋体" w:hAnsi="宋体"/>
                <w:color w:val="auto"/>
                <w:sz w:val="24"/>
                <w:szCs w:val="24"/>
                <w:highlight w:val="none"/>
              </w:rPr>
              <w:t>CT白金保服务范围：</w:t>
            </w:r>
          </w:p>
          <w:p>
            <w:pPr>
              <w:numPr>
                <w:ilvl w:val="0"/>
                <w:numId w:val="1"/>
              </w:numPr>
              <w:rPr>
                <w:rFonts w:ascii="宋体" w:hAnsi="宋体"/>
                <w:color w:val="auto"/>
                <w:sz w:val="24"/>
                <w:szCs w:val="24"/>
                <w:highlight w:val="none"/>
              </w:rPr>
            </w:pPr>
            <w:r>
              <w:rPr>
                <w:rFonts w:hint="eastAsia" w:ascii="宋体" w:hAnsi="宋体"/>
                <w:color w:val="auto"/>
                <w:sz w:val="24"/>
                <w:szCs w:val="24"/>
                <w:highlight w:val="none"/>
              </w:rPr>
              <w:t>一、软硬件【CT整机(含球馆、探测器、高压油箱、</w:t>
            </w:r>
            <w:r>
              <w:rPr>
                <w:rFonts w:hint="eastAsia" w:ascii="等线" w:hAnsi="等线" w:eastAsia="等线"/>
                <w:b/>
                <w:bCs/>
                <w:color w:val="auto"/>
                <w:sz w:val="24"/>
                <w:szCs w:val="24"/>
                <w:highlight w:val="none"/>
              </w:rPr>
              <w:t>工作站软硬件【富士通</w:t>
            </w:r>
            <w:r>
              <w:rPr>
                <w:b/>
                <w:bCs/>
                <w:color w:val="auto"/>
                <w:sz w:val="24"/>
                <w:szCs w:val="24"/>
                <w:highlight w:val="none"/>
              </w:rPr>
              <w:t>ics tower 12e</w:t>
            </w:r>
            <w:r>
              <w:rPr>
                <w:rFonts w:hint="eastAsia" w:ascii="等线" w:hAnsi="等线" w:eastAsia="等线"/>
                <w:b/>
                <w:bCs/>
                <w:color w:val="auto"/>
                <w:sz w:val="24"/>
                <w:szCs w:val="24"/>
                <w:highlight w:val="none"/>
              </w:rPr>
              <w:t>图像后处理服务器</w:t>
            </w:r>
            <w:r>
              <w:rPr>
                <w:b/>
                <w:bCs/>
                <w:color w:val="auto"/>
                <w:sz w:val="24"/>
                <w:szCs w:val="24"/>
                <w:highlight w:val="none"/>
              </w:rPr>
              <w:t>1</w:t>
            </w:r>
            <w:r>
              <w:rPr>
                <w:rFonts w:hint="eastAsia" w:ascii="等线" w:hAnsi="等线" w:eastAsia="等线"/>
                <w:b/>
                <w:bCs/>
                <w:color w:val="auto"/>
                <w:sz w:val="24"/>
                <w:szCs w:val="24"/>
                <w:highlight w:val="none"/>
              </w:rPr>
              <w:t>套、惠普图像后处理客户端</w:t>
            </w:r>
            <w:r>
              <w:rPr>
                <w:b/>
                <w:bCs/>
                <w:color w:val="auto"/>
                <w:sz w:val="24"/>
                <w:szCs w:val="24"/>
                <w:highlight w:val="none"/>
              </w:rPr>
              <w:t>1</w:t>
            </w:r>
            <w:r>
              <w:rPr>
                <w:rFonts w:hint="eastAsia" w:ascii="等线" w:hAnsi="等线" w:eastAsia="等线"/>
                <w:b/>
                <w:bCs/>
                <w:color w:val="auto"/>
                <w:sz w:val="24"/>
                <w:szCs w:val="24"/>
                <w:highlight w:val="none"/>
              </w:rPr>
              <w:t>套、富士通</w:t>
            </w:r>
            <w:r>
              <w:rPr>
                <w:b/>
                <w:bCs/>
                <w:color w:val="auto"/>
                <w:sz w:val="24"/>
                <w:szCs w:val="24"/>
                <w:highlight w:val="none"/>
              </w:rPr>
              <w:t>syngo via</w:t>
            </w:r>
            <w:r>
              <w:rPr>
                <w:rFonts w:hint="eastAsia" w:ascii="等线" w:hAnsi="等线" w:eastAsia="等线"/>
                <w:b/>
                <w:bCs/>
                <w:color w:val="auto"/>
                <w:sz w:val="24"/>
                <w:szCs w:val="24"/>
                <w:highlight w:val="none"/>
              </w:rPr>
              <w:t>图像后处理客户端</w:t>
            </w:r>
            <w:r>
              <w:rPr>
                <w:b/>
                <w:bCs/>
                <w:color w:val="auto"/>
                <w:sz w:val="24"/>
                <w:szCs w:val="24"/>
                <w:highlight w:val="none"/>
              </w:rPr>
              <w:t>2</w:t>
            </w:r>
            <w:r>
              <w:rPr>
                <w:rFonts w:hint="eastAsia" w:ascii="等线" w:hAnsi="等线" w:eastAsia="等线"/>
                <w:b/>
                <w:bCs/>
                <w:color w:val="auto"/>
                <w:sz w:val="24"/>
                <w:szCs w:val="24"/>
                <w:highlight w:val="none"/>
              </w:rPr>
              <w:t>套，（以上工作站均含键盘、鼠标及显示器）、</w:t>
            </w:r>
            <w:r>
              <w:rPr>
                <w:b/>
                <w:bCs/>
                <w:color w:val="auto"/>
                <w:sz w:val="24"/>
                <w:szCs w:val="24"/>
                <w:highlight w:val="none"/>
              </w:rPr>
              <w:t xml:space="preserve">APC </w:t>
            </w:r>
            <w:r>
              <w:rPr>
                <w:rFonts w:hint="eastAsia" w:ascii="等线" w:hAnsi="等线" w:eastAsia="等线"/>
                <w:b/>
                <w:bCs/>
                <w:color w:val="auto"/>
                <w:sz w:val="24"/>
                <w:szCs w:val="24"/>
                <w:highlight w:val="none"/>
              </w:rPr>
              <w:t>不间断电源</w:t>
            </w:r>
            <w:r>
              <w:rPr>
                <w:b/>
                <w:bCs/>
                <w:color w:val="auto"/>
                <w:sz w:val="24"/>
                <w:szCs w:val="24"/>
                <w:highlight w:val="none"/>
              </w:rPr>
              <w:t>1</w:t>
            </w:r>
            <w:r>
              <w:rPr>
                <w:rFonts w:hint="eastAsia" w:ascii="等线" w:hAnsi="等线" w:eastAsia="等线"/>
                <w:b/>
                <w:bCs/>
                <w:color w:val="auto"/>
                <w:sz w:val="24"/>
                <w:szCs w:val="24"/>
                <w:highlight w:val="none"/>
              </w:rPr>
              <w:t>套】</w:t>
            </w:r>
          </w:p>
          <w:p>
            <w:pPr>
              <w:numPr>
                <w:ilvl w:val="0"/>
                <w:numId w:val="1"/>
              </w:numPr>
              <w:rPr>
                <w:rFonts w:ascii="宋体" w:hAnsi="宋体"/>
                <w:color w:val="auto"/>
                <w:sz w:val="24"/>
                <w:szCs w:val="24"/>
                <w:highlight w:val="none"/>
              </w:rPr>
            </w:pPr>
            <w:r>
              <w:rPr>
                <w:rFonts w:hint="eastAsia" w:ascii="宋体" w:hAnsi="宋体"/>
                <w:color w:val="auto"/>
                <w:sz w:val="24"/>
                <w:szCs w:val="24"/>
                <w:highlight w:val="none"/>
              </w:rPr>
              <w:t>二、CT服务：【预防性技术保养（2次/年）、预防性技术保养耗材、保证开机率95%、安全检查、质量保证、安全升级、24小时*365天技术电话支持智在远程服务】；</w:t>
            </w:r>
          </w:p>
          <w:p>
            <w:pPr>
              <w:numPr>
                <w:ilvl w:val="0"/>
                <w:numId w:val="1"/>
              </w:numPr>
              <w:rPr>
                <w:rFonts w:ascii="宋体" w:hAnsi="宋体"/>
                <w:color w:val="auto"/>
                <w:sz w:val="24"/>
                <w:szCs w:val="24"/>
                <w:highlight w:val="none"/>
              </w:rPr>
            </w:pPr>
            <w:r>
              <w:rPr>
                <w:rFonts w:hint="eastAsia" w:ascii="宋体" w:hAnsi="宋体"/>
                <w:color w:val="auto"/>
                <w:sz w:val="24"/>
                <w:szCs w:val="24"/>
                <w:highlight w:val="none"/>
              </w:rPr>
              <w:t>三、SY工作站部分：【1、24小时´365天热线支持，安全升级2、远程技术支持服务（基于SRS连接）3、远程软件更新服务（基于SRS连接）4、远程软件升级服务（基于SRS连接）5、远程临床应用支持服务（基于工作站主机硬件服务由惠普提供SRS连接）、6、工作站主机硬件服务由惠普提供、7、人工、8、备件、9、客户端电脑保障服务、1</w:t>
            </w:r>
            <w:r>
              <w:rPr>
                <w:rFonts w:ascii="宋体" w:hAnsi="宋体"/>
                <w:color w:val="auto"/>
                <w:sz w:val="24"/>
                <w:szCs w:val="24"/>
                <w:highlight w:val="none"/>
              </w:rPr>
              <w:t>0</w:t>
            </w:r>
            <w:r>
              <w:rPr>
                <w:rFonts w:hint="eastAsia" w:ascii="宋体" w:hAnsi="宋体"/>
                <w:color w:val="auto"/>
                <w:sz w:val="24"/>
                <w:szCs w:val="24"/>
                <w:highlight w:val="none"/>
              </w:rPr>
              <w:t>、客户端屏幕保障服务、1</w:t>
            </w:r>
            <w:r>
              <w:rPr>
                <w:rFonts w:ascii="宋体" w:hAnsi="宋体"/>
                <w:color w:val="auto"/>
                <w:sz w:val="24"/>
                <w:szCs w:val="24"/>
                <w:highlight w:val="none"/>
              </w:rPr>
              <w:t>1</w:t>
            </w:r>
            <w:r>
              <w:rPr>
                <w:rFonts w:hint="eastAsia" w:ascii="宋体" w:hAnsi="宋体"/>
                <w:color w:val="auto"/>
                <w:sz w:val="24"/>
                <w:szCs w:val="24"/>
                <w:highlight w:val="none"/>
              </w:rPr>
              <w:t>、UPS不间断电源保障服务】</w:t>
            </w:r>
          </w:p>
        </w:tc>
      </w:tr>
      <w:tr>
        <w:tblPrEx>
          <w:tblCellMar>
            <w:top w:w="0" w:type="dxa"/>
            <w:left w:w="108" w:type="dxa"/>
            <w:bottom w:w="0" w:type="dxa"/>
            <w:right w:w="108" w:type="dxa"/>
          </w:tblCellMar>
        </w:tblPrEx>
        <w:trPr>
          <w:trHeight w:val="535"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五、</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具备设备原厂家售后服务授权</w:t>
            </w:r>
          </w:p>
        </w:tc>
      </w:tr>
      <w:tr>
        <w:tblPrEx>
          <w:tblCellMar>
            <w:top w:w="0" w:type="dxa"/>
            <w:left w:w="108" w:type="dxa"/>
            <w:bottom w:w="0" w:type="dxa"/>
            <w:right w:w="108" w:type="dxa"/>
          </w:tblCellMar>
        </w:tblPrEx>
        <w:trPr>
          <w:trHeight w:val="553"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六、</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所更换的备件必须为原厂合格备件；</w:t>
            </w:r>
          </w:p>
        </w:tc>
      </w:tr>
      <w:tr>
        <w:tblPrEx>
          <w:tblCellMar>
            <w:top w:w="0" w:type="dxa"/>
            <w:left w:w="108" w:type="dxa"/>
            <w:bottom w:w="0" w:type="dxa"/>
            <w:right w:w="108" w:type="dxa"/>
          </w:tblCellMar>
        </w:tblPrEx>
        <w:trPr>
          <w:trHeight w:val="655"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七、</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投标人能提供互联网远程诊断服务，具有远程并连接设备的诊断系统及认证证书（需提供ISO认证证书复印件）；</w:t>
            </w:r>
          </w:p>
        </w:tc>
      </w:tr>
      <w:tr>
        <w:tblPrEx>
          <w:tblCellMar>
            <w:top w:w="0" w:type="dxa"/>
            <w:left w:w="108" w:type="dxa"/>
            <w:bottom w:w="0" w:type="dxa"/>
            <w:right w:w="108" w:type="dxa"/>
          </w:tblCellMar>
        </w:tblPrEx>
        <w:trPr>
          <w:trHeight w:val="556"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八、</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提供服务在线管理平台，实现在线报修，维修进度及设备运行状况查看功能；</w:t>
            </w:r>
          </w:p>
        </w:tc>
      </w:tr>
      <w:tr>
        <w:tblPrEx>
          <w:tblCellMar>
            <w:top w:w="0" w:type="dxa"/>
            <w:left w:w="108" w:type="dxa"/>
            <w:bottom w:w="0" w:type="dxa"/>
            <w:right w:w="108" w:type="dxa"/>
          </w:tblCellMar>
        </w:tblPrEx>
        <w:trPr>
          <w:trHeight w:val="480"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九、</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投标人需提供企业法人营业执照（副本复印件）、医疗器械经营许可证；</w:t>
            </w:r>
          </w:p>
        </w:tc>
      </w:tr>
      <w:tr>
        <w:tblPrEx>
          <w:tblCellMar>
            <w:top w:w="0" w:type="dxa"/>
            <w:left w:w="108" w:type="dxa"/>
            <w:bottom w:w="0" w:type="dxa"/>
            <w:right w:w="108" w:type="dxa"/>
          </w:tblCellMar>
        </w:tblPrEx>
        <w:trPr>
          <w:trHeight w:val="658"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投标人必须配备经过产品制造商正规培训的工程师≥2名名且具备同类机型维修经验，（提供原厂培训证书复印件）</w:t>
            </w:r>
          </w:p>
        </w:tc>
      </w:tr>
      <w:tr>
        <w:tblPrEx>
          <w:tblCellMar>
            <w:top w:w="0" w:type="dxa"/>
            <w:left w:w="108" w:type="dxa"/>
            <w:bottom w:w="0" w:type="dxa"/>
            <w:right w:w="108" w:type="dxa"/>
          </w:tblCellMar>
        </w:tblPrEx>
        <w:trPr>
          <w:trHeight w:val="664"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十一、</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国内具有保税库（提供仓库地址、租赁合同和照片）；</w:t>
            </w:r>
          </w:p>
        </w:tc>
      </w:tr>
      <w:tr>
        <w:tblPrEx>
          <w:tblCellMar>
            <w:top w:w="0" w:type="dxa"/>
            <w:left w:w="108" w:type="dxa"/>
            <w:bottom w:w="0" w:type="dxa"/>
            <w:right w:w="108" w:type="dxa"/>
          </w:tblCellMar>
        </w:tblPrEx>
        <w:trPr>
          <w:trHeight w:val="664"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十二、</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投标人需符合质量管理体系标准（需提供ISO9001认证证书复印件）</w:t>
            </w:r>
          </w:p>
        </w:tc>
      </w:tr>
      <w:tr>
        <w:tblPrEx>
          <w:tblCellMar>
            <w:top w:w="0" w:type="dxa"/>
            <w:left w:w="108" w:type="dxa"/>
            <w:bottom w:w="0" w:type="dxa"/>
            <w:right w:w="108" w:type="dxa"/>
          </w:tblCellMar>
        </w:tblPrEx>
        <w:trPr>
          <w:trHeight w:val="690"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十三、</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服务热线：全国范围内开通400免费热线电话，24小时×365天热线支持，为用户提供快速诊断和技术支持服务，接到用户通知后平均2小时之内响应。</w:t>
            </w:r>
          </w:p>
        </w:tc>
      </w:tr>
      <w:tr>
        <w:tblPrEx>
          <w:tblCellMar>
            <w:top w:w="0" w:type="dxa"/>
            <w:left w:w="108" w:type="dxa"/>
            <w:bottom w:w="0" w:type="dxa"/>
            <w:right w:w="108" w:type="dxa"/>
          </w:tblCellMar>
        </w:tblPrEx>
        <w:trPr>
          <w:trHeight w:val="690"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十四、</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投标供应商须具备《辐射安全许可证》，以证明更换的X线类备件具备销售资质且符合辐射安全许可的规定，投标时提供辐射安全许可证。</w:t>
            </w:r>
          </w:p>
        </w:tc>
      </w:tr>
      <w:tr>
        <w:tblPrEx>
          <w:tblCellMar>
            <w:top w:w="0" w:type="dxa"/>
            <w:left w:w="108" w:type="dxa"/>
            <w:bottom w:w="0" w:type="dxa"/>
            <w:right w:w="108" w:type="dxa"/>
          </w:tblCellMar>
        </w:tblPrEx>
        <w:trPr>
          <w:trHeight w:val="690" w:hRule="atLeast"/>
        </w:trPr>
        <w:tc>
          <w:tcPr>
            <w:tcW w:w="972" w:type="dxa"/>
            <w:tcBorders>
              <w:top w:val="nil"/>
              <w:left w:val="single" w:color="auto" w:sz="8" w:space="0"/>
              <w:bottom w:val="single" w:color="auto" w:sz="8" w:space="0"/>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十五、</w:t>
            </w:r>
          </w:p>
        </w:tc>
        <w:tc>
          <w:tcPr>
            <w:tcW w:w="8258" w:type="dxa"/>
            <w:tcBorders>
              <w:top w:val="nil"/>
              <w:left w:val="nil"/>
              <w:bottom w:val="single" w:color="auto" w:sz="8" w:space="0"/>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业绩2份：投标人或授权单位提供近年来实施过与本次采购内容类似机型系列维保服务业绩证明材料。</w:t>
            </w:r>
          </w:p>
        </w:tc>
      </w:tr>
      <w:tr>
        <w:tblPrEx>
          <w:tblCellMar>
            <w:top w:w="0" w:type="dxa"/>
            <w:left w:w="108" w:type="dxa"/>
            <w:bottom w:w="0" w:type="dxa"/>
            <w:right w:w="108" w:type="dxa"/>
          </w:tblCellMar>
        </w:tblPrEx>
        <w:trPr>
          <w:trHeight w:val="690" w:hRule="atLeast"/>
        </w:trPr>
        <w:tc>
          <w:tcPr>
            <w:tcW w:w="972" w:type="dxa"/>
            <w:tcBorders>
              <w:top w:val="nil"/>
              <w:left w:val="single" w:color="auto" w:sz="8" w:space="0"/>
              <w:bottom w:val="nil"/>
              <w:right w:val="single" w:color="auto" w:sz="8"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十六、</w:t>
            </w:r>
          </w:p>
        </w:tc>
        <w:tc>
          <w:tcPr>
            <w:tcW w:w="8258" w:type="dxa"/>
            <w:tcBorders>
              <w:top w:val="nil"/>
              <w:left w:val="nil"/>
              <w:bottom w:val="nil"/>
              <w:right w:val="single" w:color="auto" w:sz="8"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付款方式：合同签订后，在收到发票后6</w:t>
            </w:r>
            <w:r>
              <w:rPr>
                <w:rFonts w:ascii="宋体" w:hAnsi="宋体"/>
                <w:color w:val="auto"/>
                <w:sz w:val="24"/>
                <w:szCs w:val="24"/>
                <w:highlight w:val="none"/>
              </w:rPr>
              <w:t>0</w:t>
            </w:r>
            <w:r>
              <w:rPr>
                <w:rFonts w:hint="eastAsia" w:ascii="宋体" w:hAnsi="宋体"/>
                <w:color w:val="auto"/>
                <w:sz w:val="24"/>
                <w:szCs w:val="24"/>
                <w:highlight w:val="none"/>
              </w:rPr>
              <w:t>天之内付9</w:t>
            </w:r>
            <w:r>
              <w:rPr>
                <w:rFonts w:ascii="宋体" w:hAnsi="宋体"/>
                <w:color w:val="auto"/>
                <w:sz w:val="24"/>
                <w:szCs w:val="24"/>
                <w:highlight w:val="none"/>
              </w:rPr>
              <w:t>0%</w:t>
            </w:r>
            <w:r>
              <w:rPr>
                <w:rFonts w:hint="eastAsia" w:ascii="宋体" w:hAnsi="宋体"/>
                <w:color w:val="auto"/>
                <w:sz w:val="24"/>
                <w:szCs w:val="24"/>
                <w:highlight w:val="none"/>
              </w:rPr>
              <w:t>，剩下1</w:t>
            </w:r>
            <w:r>
              <w:rPr>
                <w:rFonts w:ascii="宋体" w:hAnsi="宋体"/>
                <w:color w:val="auto"/>
                <w:sz w:val="24"/>
                <w:szCs w:val="24"/>
                <w:highlight w:val="none"/>
              </w:rPr>
              <w:t>0%</w:t>
            </w:r>
            <w:r>
              <w:rPr>
                <w:rFonts w:hint="eastAsia" w:ascii="宋体" w:hAnsi="宋体"/>
                <w:color w:val="auto"/>
                <w:sz w:val="24"/>
                <w:szCs w:val="24"/>
                <w:highlight w:val="none"/>
              </w:rPr>
              <w:t>合同结束前付清。</w:t>
            </w:r>
          </w:p>
        </w:tc>
      </w:tr>
      <w:tr>
        <w:tblPrEx>
          <w:tblCellMar>
            <w:top w:w="0" w:type="dxa"/>
            <w:left w:w="108" w:type="dxa"/>
            <w:bottom w:w="0" w:type="dxa"/>
            <w:right w:w="108" w:type="dxa"/>
          </w:tblCellMar>
        </w:tblPrEx>
        <w:trPr>
          <w:trHeight w:val="118" w:hRule="atLeast"/>
        </w:trPr>
        <w:tc>
          <w:tcPr>
            <w:tcW w:w="972" w:type="dxa"/>
            <w:tcBorders>
              <w:top w:val="nil"/>
              <w:left w:val="single" w:color="auto" w:sz="8" w:space="0"/>
              <w:bottom w:val="single" w:color="auto" w:sz="8" w:space="0"/>
              <w:right w:val="single" w:color="auto" w:sz="8" w:space="0"/>
            </w:tcBorders>
            <w:noWrap/>
            <w:vAlign w:val="center"/>
          </w:tcPr>
          <w:p>
            <w:pPr>
              <w:jc w:val="center"/>
              <w:rPr>
                <w:rFonts w:ascii="宋体" w:hAnsi="宋体" w:cs="Arial"/>
                <w:color w:val="auto"/>
                <w:sz w:val="24"/>
                <w:szCs w:val="24"/>
                <w:highlight w:val="none"/>
              </w:rPr>
            </w:pPr>
          </w:p>
        </w:tc>
        <w:tc>
          <w:tcPr>
            <w:tcW w:w="8258" w:type="dxa"/>
            <w:tcBorders>
              <w:top w:val="nil"/>
              <w:left w:val="nil"/>
              <w:bottom w:val="single" w:color="auto" w:sz="8" w:space="0"/>
              <w:right w:val="single" w:color="auto" w:sz="8" w:space="0"/>
            </w:tcBorders>
            <w:vAlign w:val="center"/>
          </w:tcPr>
          <w:p>
            <w:pPr>
              <w:rPr>
                <w:rFonts w:hint="eastAsia" w:ascii="宋体" w:hAnsi="宋体" w:cs="宋体"/>
                <w:color w:val="auto"/>
                <w:sz w:val="24"/>
                <w:szCs w:val="24"/>
                <w:highlight w:val="none"/>
              </w:rPr>
            </w:pP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B3BF8"/>
    <w:multiLevelType w:val="multilevel"/>
    <w:tmpl w:val="2DFB3BF8"/>
    <w:lvl w:ilvl="0" w:tentative="0">
      <w:start w:val="0"/>
      <w:numFmt w:val="bullet"/>
      <w:lvlText w:val="•"/>
      <w:lvlJc w:val="left"/>
      <w:pPr>
        <w:ind w:left="0" w:hanging="363"/>
      </w:pPr>
      <w:rPr>
        <w:rFonts w:hint="default" w:ascii="宋体" w:hAnsi="宋体" w:eastAsia="宋体" w:cs="宋体"/>
        <w:w w:val="99"/>
        <w:sz w:val="17"/>
        <w:szCs w:val="17"/>
        <w:lang w:val="en-US" w:eastAsia="en-US" w:bidi="en-US"/>
      </w:rPr>
    </w:lvl>
    <w:lvl w:ilvl="1" w:tentative="0">
      <w:start w:val="0"/>
      <w:numFmt w:val="bullet"/>
      <w:lvlText w:val="•"/>
      <w:lvlJc w:val="left"/>
      <w:pPr>
        <w:ind w:left="968" w:hanging="363"/>
      </w:pPr>
      <w:rPr>
        <w:rFonts w:hint="default" w:ascii="宋体" w:hAnsi="宋体" w:eastAsia="宋体" w:cs="宋体"/>
        <w:w w:val="99"/>
        <w:sz w:val="17"/>
        <w:szCs w:val="17"/>
        <w:lang w:val="en-US" w:eastAsia="en-US" w:bidi="en-US"/>
      </w:rPr>
    </w:lvl>
    <w:lvl w:ilvl="2" w:tentative="0">
      <w:start w:val="0"/>
      <w:numFmt w:val="bullet"/>
      <w:lvlText w:val="•"/>
      <w:lvlJc w:val="left"/>
      <w:pPr>
        <w:ind w:left="1936" w:hanging="363"/>
      </w:pPr>
      <w:rPr>
        <w:rFonts w:hint="default" w:ascii="宋体" w:hAnsi="宋体" w:eastAsia="宋体" w:cs="宋体"/>
        <w:w w:val="99"/>
        <w:sz w:val="17"/>
        <w:szCs w:val="17"/>
        <w:lang w:val="en-US" w:eastAsia="en-US" w:bidi="en-US"/>
      </w:rPr>
    </w:lvl>
    <w:lvl w:ilvl="3" w:tentative="0">
      <w:start w:val="0"/>
      <w:numFmt w:val="bullet"/>
      <w:lvlText w:val="•"/>
      <w:lvlJc w:val="left"/>
      <w:pPr>
        <w:ind w:left="2904" w:hanging="363"/>
      </w:pPr>
      <w:rPr>
        <w:rFonts w:hint="default" w:ascii="宋体" w:hAnsi="宋体" w:eastAsia="宋体" w:cs="宋体"/>
        <w:w w:val="99"/>
        <w:sz w:val="17"/>
        <w:szCs w:val="17"/>
        <w:lang w:val="en-US" w:eastAsia="en-US" w:bidi="en-US"/>
      </w:rPr>
    </w:lvl>
    <w:lvl w:ilvl="4" w:tentative="0">
      <w:start w:val="0"/>
      <w:numFmt w:val="bullet"/>
      <w:lvlText w:val="•"/>
      <w:lvlJc w:val="left"/>
      <w:pPr>
        <w:ind w:left="3872" w:hanging="363"/>
      </w:pPr>
      <w:rPr>
        <w:rFonts w:hint="default" w:ascii="宋体" w:hAnsi="宋体" w:eastAsia="宋体" w:cs="宋体"/>
        <w:w w:val="99"/>
        <w:sz w:val="17"/>
        <w:szCs w:val="17"/>
        <w:lang w:val="en-US" w:eastAsia="en-US" w:bidi="en-US"/>
      </w:rPr>
    </w:lvl>
    <w:lvl w:ilvl="5" w:tentative="0">
      <w:start w:val="0"/>
      <w:numFmt w:val="bullet"/>
      <w:lvlText w:val="•"/>
      <w:lvlJc w:val="left"/>
      <w:pPr>
        <w:ind w:left="4840" w:hanging="363"/>
      </w:pPr>
      <w:rPr>
        <w:rFonts w:hint="default" w:ascii="宋体" w:hAnsi="宋体" w:eastAsia="宋体" w:cs="宋体"/>
        <w:w w:val="99"/>
        <w:sz w:val="17"/>
        <w:szCs w:val="17"/>
        <w:lang w:val="en-US" w:eastAsia="en-US" w:bidi="en-US"/>
      </w:rPr>
    </w:lvl>
    <w:lvl w:ilvl="6" w:tentative="0">
      <w:start w:val="0"/>
      <w:numFmt w:val="bullet"/>
      <w:lvlText w:val="•"/>
      <w:lvlJc w:val="left"/>
      <w:pPr>
        <w:ind w:left="5808" w:hanging="363"/>
      </w:pPr>
      <w:rPr>
        <w:rFonts w:hint="default" w:ascii="宋体" w:hAnsi="宋体" w:eastAsia="宋体" w:cs="宋体"/>
        <w:w w:val="99"/>
        <w:sz w:val="17"/>
        <w:szCs w:val="17"/>
        <w:lang w:val="en-US" w:eastAsia="en-US" w:bidi="en-US"/>
      </w:rPr>
    </w:lvl>
    <w:lvl w:ilvl="7" w:tentative="0">
      <w:start w:val="0"/>
      <w:numFmt w:val="bullet"/>
      <w:lvlText w:val="•"/>
      <w:lvlJc w:val="left"/>
      <w:pPr>
        <w:ind w:left="6776" w:hanging="363"/>
      </w:pPr>
      <w:rPr>
        <w:rFonts w:hint="default" w:ascii="宋体" w:hAnsi="宋体" w:eastAsia="宋体" w:cs="宋体"/>
        <w:w w:val="99"/>
        <w:sz w:val="17"/>
        <w:szCs w:val="17"/>
        <w:lang w:val="en-US" w:eastAsia="en-US" w:bidi="en-US"/>
      </w:rPr>
    </w:lvl>
    <w:lvl w:ilvl="8" w:tentative="0">
      <w:start w:val="0"/>
      <w:numFmt w:val="bullet"/>
      <w:lvlText w:val="•"/>
      <w:lvlJc w:val="left"/>
      <w:pPr>
        <w:ind w:left="7744" w:hanging="363"/>
      </w:pPr>
      <w:rPr>
        <w:rFonts w:hint="default" w:ascii="宋体" w:hAnsi="宋体" w:eastAsia="宋体" w:cs="宋体"/>
        <w:w w:val="99"/>
        <w:sz w:val="17"/>
        <w:szCs w:val="17"/>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NjhhZTJhMzQ4ZGQ0MGZkYjgwMjI2ZTc4MjlmNjIifQ=="/>
  </w:docVars>
  <w:rsids>
    <w:rsidRoot w:val="00574DA9"/>
    <w:rsid w:val="000835AE"/>
    <w:rsid w:val="001E02D3"/>
    <w:rsid w:val="002048C0"/>
    <w:rsid w:val="002F48E7"/>
    <w:rsid w:val="00362BAA"/>
    <w:rsid w:val="0038456B"/>
    <w:rsid w:val="00467219"/>
    <w:rsid w:val="00574DA9"/>
    <w:rsid w:val="005C78D0"/>
    <w:rsid w:val="006037E9"/>
    <w:rsid w:val="007F7E29"/>
    <w:rsid w:val="008A2208"/>
    <w:rsid w:val="00971AC5"/>
    <w:rsid w:val="00986C60"/>
    <w:rsid w:val="00C16ECB"/>
    <w:rsid w:val="00CA013D"/>
    <w:rsid w:val="00CE6C93"/>
    <w:rsid w:val="00DA304C"/>
    <w:rsid w:val="00F07359"/>
    <w:rsid w:val="00FE2571"/>
    <w:rsid w:val="52015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0"/>
    <w:pPr>
      <w:keepNext/>
      <w:jc w:val="center"/>
      <w:outlineLvl w:val="0"/>
    </w:pPr>
    <w:rPr>
      <w:rFonts w:ascii="楷体_GB2312" w:eastAsia="楷体_GB2312"/>
      <w:sz w:val="28"/>
      <w:szCs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character" w:customStyle="1" w:styleId="7">
    <w:name w:val="标题 1 字符"/>
    <w:basedOn w:val="6"/>
    <w:uiPriority w:val="9"/>
    <w:rPr>
      <w:rFonts w:ascii="Times New Roman" w:hAnsi="Times New Roman" w:eastAsia="宋体" w:cs="Times New Roman"/>
      <w:b/>
      <w:bCs/>
      <w:kern w:val="44"/>
      <w:sz w:val="44"/>
      <w:szCs w:val="44"/>
    </w:rPr>
  </w:style>
  <w:style w:type="character" w:customStyle="1" w:styleId="8">
    <w:name w:val="标题 1 字符1"/>
    <w:link w:val="2"/>
    <w:uiPriority w:val="0"/>
    <w:rPr>
      <w:rFonts w:ascii="楷体_GB2312" w:hAnsi="Times New Roman" w:eastAsia="楷体_GB2312" w:cs="Times New Roman"/>
      <w:sz w:val="28"/>
      <w:szCs w:val="28"/>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Words>
  <Characters>925</Characters>
  <Lines>7</Lines>
  <Paragraphs>2</Paragraphs>
  <TotalTime>30</TotalTime>
  <ScaleCrop>false</ScaleCrop>
  <LinksUpToDate>false</LinksUpToDate>
  <CharactersWithSpaces>1085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2024-04-23T09:40:00Z</dcterms:created>
  <dc:creator>Song, Mei Jia</dc:creator>
  <cp:lastModifiedBy>心润</cp:lastModifiedBy>
  <dcterms:modified xsi:type="dcterms:W3CDTF">2024-05-06T09:20:04Z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2024-02-23T07:46:34Z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50cb0a8e-5db5-4c77-b550-00fc9d6d4950</vt:lpwstr>
  </property>
  <property fmtid="{D5CDD505-2E9C-101B-9397-08002B2CF9AE}" pid="8" name="MSIP_Label_ff6dbec8-95a8-4638-9f5f-bd076536645c_ContentBits">
    <vt:lpwstr>0</vt:lpwstr>
  </property>
  <property fmtid="{D5CDD505-2E9C-101B-9397-08002B2CF9AE}" pid="9" name="KSOProductBuildVer">
    <vt:lpwstr>2052-12.1.0.16417</vt:lpwstr>
  </property>
  <property fmtid="{D5CDD505-2E9C-101B-9397-08002B2CF9AE}" pid="10" name="ICV">
    <vt:lpwstr>C5F81332E5114DC99B3DA39E3A3BFC33_12</vt:lpwstr>
  </property>
</Properties>
</file>